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A7922">
      <w:pPr>
        <w:pStyle w:val="24"/>
        <w:tabs>
          <w:tab w:val="right" w:pos="9639"/>
        </w:tabs>
        <w:rPr>
          <w:rFonts w:hint="default" w:ascii="Times New Roman" w:hAnsi="Times New Roman" w:eastAsia="Malgun Gothic" w:cs="Times New Roman"/>
          <w:bCs/>
          <w:i/>
          <w:sz w:val="32"/>
          <w:lang w:val="en-IN" w:eastAsia="ko-KR"/>
        </w:rPr>
      </w:pPr>
      <w:r>
        <w:rPr>
          <w:rFonts w:hint="default" w:ascii="Times New Roman" w:hAnsi="Times New Roman" w:cs="Times New Roman"/>
          <w:bCs/>
          <w:sz w:val="24"/>
          <w:lang w:val="en-GB" w:eastAsia="en-US"/>
        </w:rPr>
        <w:t>3GPP TSG-RAN WG3 #1</w:t>
      </w:r>
      <w:r>
        <w:rPr>
          <w:rFonts w:hint="default" w:ascii="Times New Roman" w:hAnsi="Times New Roman" w:cs="Times New Roman"/>
          <w:bCs/>
          <w:sz w:val="24"/>
          <w:lang w:val="en-IN" w:eastAsia="en-US"/>
        </w:rPr>
        <w:t>30</w:t>
      </w:r>
      <w:r>
        <w:rPr>
          <w:rFonts w:hint="default" w:ascii="Times New Roman" w:hAnsi="Times New Roman" w:eastAsia="Malgun Gothic" w:cs="Times New Roman"/>
          <w:bCs/>
          <w:sz w:val="24"/>
          <w:lang w:val="en-GB" w:eastAsia="ko-KR"/>
        </w:rPr>
        <w:t xml:space="preserve"> </w:t>
      </w:r>
      <w:r>
        <w:rPr>
          <w:rFonts w:hint="default" w:ascii="Times New Roman" w:hAnsi="Times New Roman" w:cs="Times New Roman"/>
          <w:bCs/>
          <w:sz w:val="24"/>
          <w:lang w:val="en-GB" w:eastAsia="en-US"/>
        </w:rPr>
        <w:tab/>
      </w:r>
      <w:r>
        <w:rPr>
          <w:rFonts w:hint="default" w:ascii="Times New Roman" w:hAnsi="Times New Roman" w:cs="Times New Roman"/>
          <w:bCs/>
          <w:sz w:val="24"/>
          <w:lang w:val="en-GB" w:eastAsia="ja-JP"/>
        </w:rPr>
        <w:t>R3-258128</w:t>
      </w:r>
    </w:p>
    <w:p w14:paraId="3C392750">
      <w:pPr>
        <w:pStyle w:val="24"/>
        <w:rPr>
          <w:rFonts w:hint="default" w:ascii="Times New Roman" w:hAnsi="Times New Roman" w:eastAsia="Malgun Gothic" w:cs="Times New Roman"/>
          <w:bCs/>
          <w:sz w:val="24"/>
          <w:lang w:val="en-GB" w:eastAsia="ko-KR"/>
        </w:rPr>
      </w:pPr>
      <w:r>
        <w:rPr>
          <w:rFonts w:hint="default" w:ascii="Times New Roman" w:hAnsi="Times New Roman" w:eastAsia="Malgun Gothic" w:cs="Times New Roman"/>
          <w:bCs/>
          <w:sz w:val="24"/>
          <w:lang w:val="en-IN" w:eastAsia="ko-KR"/>
        </w:rPr>
        <w:t>17</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 </w:t>
      </w:r>
      <w:r>
        <w:rPr>
          <w:rFonts w:hint="default" w:ascii="Times New Roman" w:hAnsi="Times New Roman" w:eastAsia="Malgun Gothic" w:cs="Times New Roman"/>
          <w:bCs/>
          <w:sz w:val="24"/>
          <w:lang w:val="en-IN" w:eastAsia="ko-KR"/>
        </w:rPr>
        <w:t>21</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w:t>
      </w:r>
      <w:r>
        <w:rPr>
          <w:rFonts w:hint="default" w:ascii="Times New Roman" w:hAnsi="Times New Roman" w:eastAsia="Malgun Gothic" w:cs="Times New Roman"/>
          <w:bCs/>
          <w:sz w:val="24"/>
          <w:lang w:val="en-IN" w:eastAsia="ko-KR"/>
        </w:rPr>
        <w:t xml:space="preserve">Nov </w:t>
      </w:r>
      <w:r>
        <w:rPr>
          <w:rFonts w:hint="default" w:ascii="Times New Roman" w:hAnsi="Times New Roman" w:eastAsia="Malgun Gothic" w:cs="Times New Roman"/>
          <w:bCs/>
          <w:sz w:val="24"/>
          <w:lang w:val="en-GB" w:eastAsia="ko-KR"/>
        </w:rPr>
        <w:t>2025</w:t>
      </w:r>
    </w:p>
    <w:p w14:paraId="70DE4C1A">
      <w:pPr>
        <w:pStyle w:val="24"/>
        <w:rPr>
          <w:rFonts w:hint="default" w:ascii="Times New Roman" w:hAnsi="Times New Roman" w:eastAsia="Malgun Gothic" w:cs="Times New Roman"/>
          <w:bCs/>
          <w:sz w:val="24"/>
          <w:lang w:val="en-IN" w:eastAsia="ko-KR"/>
        </w:rPr>
      </w:pPr>
      <w:r>
        <w:rPr>
          <w:rFonts w:hint="default" w:ascii="Times New Roman" w:hAnsi="Times New Roman" w:eastAsia="Malgun Gothic" w:cs="Times New Roman"/>
          <w:bCs/>
          <w:sz w:val="24"/>
          <w:lang w:val="en-IN" w:eastAsia="ko-KR"/>
        </w:rPr>
        <w:t>Dallas</w:t>
      </w:r>
      <w:r>
        <w:rPr>
          <w:rFonts w:hint="default" w:ascii="Times New Roman" w:hAnsi="Times New Roman" w:eastAsia="Malgun Gothic" w:cs="Times New Roman"/>
          <w:bCs/>
          <w:sz w:val="24"/>
          <w:lang w:val="en-GB" w:eastAsia="ko-KR"/>
        </w:rPr>
        <w:t xml:space="preserve">, </w:t>
      </w:r>
      <w:r>
        <w:rPr>
          <w:rFonts w:hint="default" w:ascii="Times New Roman" w:hAnsi="Times New Roman" w:eastAsia="Malgun Gothic" w:cs="Times New Roman"/>
          <w:bCs/>
          <w:sz w:val="24"/>
          <w:lang w:val="en-IN" w:eastAsia="ko-KR"/>
        </w:rPr>
        <w:t>US</w:t>
      </w:r>
    </w:p>
    <w:p w14:paraId="7C8F7864">
      <w:pPr>
        <w:pStyle w:val="24"/>
        <w:rPr>
          <w:rFonts w:hint="default" w:ascii="Times New Roman" w:hAnsi="Times New Roman" w:cs="Times New Roman"/>
          <w:bCs/>
          <w:sz w:val="24"/>
          <w:lang w:val="en-GB" w:eastAsia="en-US"/>
        </w:rPr>
      </w:pPr>
    </w:p>
    <w:p w14:paraId="7E57D6C6">
      <w:pPr>
        <w:pStyle w:val="24"/>
        <w:rPr>
          <w:rFonts w:hint="default" w:ascii="Times New Roman" w:hAnsi="Times New Roman" w:cs="Times New Roman"/>
          <w:bCs/>
          <w:sz w:val="24"/>
          <w:lang w:val="en-GB" w:eastAsia="ja-JP"/>
        </w:rPr>
      </w:pPr>
    </w:p>
    <w:p w14:paraId="75A22D3A">
      <w:pPr>
        <w:pStyle w:val="88"/>
        <w:rPr>
          <w:rFonts w:hint="default" w:ascii="Times New Roman" w:hAnsi="Times New Roman" w:eastAsia="Malgun Gothic" w:cs="Times New Roman"/>
          <w:b/>
          <w:bCs/>
          <w:sz w:val="24"/>
          <w:lang w:val="en-IN" w:eastAsia="ko-KR"/>
        </w:rPr>
      </w:pPr>
      <w:r>
        <w:rPr>
          <w:rFonts w:hint="default" w:ascii="Times New Roman" w:hAnsi="Times New Roman" w:cs="Times New Roman"/>
          <w:b/>
          <w:bCs/>
          <w:sz w:val="24"/>
        </w:rPr>
        <w:t>Agenda item:</w:t>
      </w:r>
      <w:r>
        <w:rPr>
          <w:rFonts w:hint="default" w:ascii="Times New Roman" w:hAnsi="Times New Roman" w:cs="Times New Roman"/>
          <w:b/>
          <w:bCs/>
          <w:sz w:val="24"/>
        </w:rPr>
        <w:tab/>
      </w:r>
      <w:r>
        <w:rPr>
          <w:rFonts w:hint="default" w:ascii="Times New Roman" w:hAnsi="Times New Roman" w:cs="Times New Roman"/>
          <w:b/>
          <w:bCs/>
          <w:sz w:val="24"/>
        </w:rPr>
        <w:tab/>
      </w:r>
      <w:r>
        <w:rPr>
          <w:rFonts w:hint="default" w:ascii="Times New Roman" w:hAnsi="Times New Roman" w:cs="Times New Roman"/>
          <w:b/>
          <w:bCs/>
          <w:sz w:val="24"/>
          <w:lang w:val="en-IN"/>
        </w:rPr>
        <w:t xml:space="preserve">  </w:t>
      </w:r>
      <w:r>
        <w:rPr>
          <w:rFonts w:hint="default" w:ascii="Times New Roman" w:hAnsi="Times New Roman" w:eastAsia="Malgun Gothic" w:cs="Times New Roman"/>
          <w:b/>
          <w:bCs/>
          <w:sz w:val="24"/>
          <w:lang w:eastAsia="ko-KR"/>
        </w:rPr>
        <w:t>1</w:t>
      </w:r>
      <w:r>
        <w:rPr>
          <w:rFonts w:hint="default" w:ascii="Times New Roman" w:hAnsi="Times New Roman" w:eastAsia="Malgun Gothic" w:cs="Times New Roman"/>
          <w:b/>
          <w:bCs/>
          <w:sz w:val="24"/>
          <w:lang w:val="en-IN" w:eastAsia="ko-KR"/>
        </w:rPr>
        <w:t>2.2.2</w:t>
      </w:r>
    </w:p>
    <w:p w14:paraId="6CF90453">
      <w:pPr>
        <w:tabs>
          <w:tab w:val="left" w:pos="1985"/>
        </w:tabs>
        <w:rPr>
          <w:rFonts w:hint="default" w:ascii="Times New Roman" w:hAnsi="Times New Roman" w:cs="Times New Roman"/>
          <w:b/>
          <w:bCs/>
          <w:sz w:val="24"/>
          <w:lang w:val="en-US"/>
        </w:rPr>
      </w:pPr>
      <w:r>
        <w:rPr>
          <w:rFonts w:hint="default" w:ascii="Times New Roman" w:hAnsi="Times New Roman" w:cs="Times New Roman"/>
          <w:b/>
          <w:bCs/>
          <w:sz w:val="24"/>
        </w:rPr>
        <w:t>Source:</w:t>
      </w:r>
      <w:r>
        <w:rPr>
          <w:rFonts w:hint="default" w:ascii="Times New Roman" w:hAnsi="Times New Roman" w:cs="Times New Roman"/>
          <w:b/>
          <w:bCs/>
          <w:sz w:val="24"/>
        </w:rPr>
        <w:tab/>
      </w:r>
      <w:r>
        <w:rPr>
          <w:rFonts w:hint="default" w:ascii="Times New Roman" w:hAnsi="Times New Roman" w:cs="Times New Roman"/>
          <w:b/>
          <w:bCs/>
          <w:sz w:val="24"/>
          <w:lang w:val="en-IN"/>
        </w:rPr>
        <w:t>Lekha Wireless Solutions</w:t>
      </w:r>
    </w:p>
    <w:p w14:paraId="2F3AC2B2">
      <w:pPr>
        <w:ind w:left="1985" w:hanging="1985"/>
        <w:rPr>
          <w:rFonts w:hint="default" w:ascii="Times New Roman" w:hAnsi="Times New Roman" w:eastAsia="Malgun Gothic" w:cs="Times New Roman"/>
          <w:b/>
          <w:bCs/>
          <w:color w:val="FF0000"/>
          <w:sz w:val="24"/>
          <w:lang w:val="en-IN" w:eastAsia="ko-KR"/>
        </w:rPr>
      </w:pPr>
      <w:r>
        <w:rPr>
          <w:rFonts w:hint="default" w:ascii="Times New Roman" w:hAnsi="Times New Roman" w:cs="Times New Roman"/>
          <w:b/>
          <w:bCs/>
          <w:sz w:val="24"/>
        </w:rPr>
        <w:t>Title:</w:t>
      </w:r>
      <w:r>
        <w:rPr>
          <w:rFonts w:hint="default" w:ascii="Times New Roman" w:hAnsi="Times New Roman" w:cs="Times New Roman"/>
          <w:b/>
          <w:bCs/>
          <w:sz w:val="24"/>
        </w:rPr>
        <w:tab/>
      </w:r>
      <w:r>
        <w:rPr>
          <w:rFonts w:hint="default" w:eastAsia="Malgun Gothic" w:cs="Times New Roman"/>
          <w:b/>
          <w:bCs/>
          <w:sz w:val="24"/>
          <w:lang w:val="en-IN" w:eastAsia="ko-KR"/>
        </w:rPr>
        <w:t>Discussion</w:t>
      </w:r>
      <w:r>
        <w:rPr>
          <w:rFonts w:hint="default" w:ascii="Times New Roman" w:hAnsi="Times New Roman" w:eastAsia="Malgun Gothic" w:cs="Times New Roman"/>
          <w:b/>
          <w:bCs/>
          <w:sz w:val="24"/>
          <w:lang w:eastAsia="ko-KR"/>
        </w:rPr>
        <w:t xml:space="preserve"> on </w:t>
      </w:r>
      <w:r>
        <w:rPr>
          <w:rFonts w:hint="default" w:eastAsia="Malgun Gothic" w:cs="Times New Roman"/>
          <w:b/>
          <w:bCs/>
          <w:sz w:val="24"/>
          <w:lang w:val="en-IN" w:eastAsia="ko-KR"/>
        </w:rPr>
        <w:t>AI/ML assisted Intra-CU LTM</w:t>
      </w:r>
    </w:p>
    <w:p w14:paraId="5BBE25C7">
      <w:pPr>
        <w:rPr>
          <w:rFonts w:hint="default" w:ascii="Times New Roman" w:hAnsi="Times New Roman" w:eastAsia="Malgun Gothic" w:cs="Times New Roman"/>
          <w:b/>
          <w:bCs/>
          <w:sz w:val="24"/>
          <w:lang w:val="en-IN" w:eastAsia="ko-KR"/>
        </w:rPr>
      </w:pPr>
      <w:r>
        <w:rPr>
          <w:rFonts w:hint="default" w:ascii="Times New Roman" w:hAnsi="Times New Roman" w:cs="Times New Roman"/>
          <w:b/>
          <w:bCs/>
          <w:sz w:val="24"/>
        </w:rPr>
        <w:t>Document for:</w:t>
      </w:r>
      <w:r>
        <w:rPr>
          <w:rFonts w:hint="default" w:ascii="Times New Roman" w:hAnsi="Times New Roman" w:cs="Times New Roman"/>
          <w:b/>
          <w:bCs/>
          <w:sz w:val="24"/>
        </w:rPr>
        <w:tab/>
      </w:r>
      <w:r>
        <w:rPr>
          <w:rFonts w:hint="default" w:ascii="Times New Roman" w:hAnsi="Times New Roman" w:cs="Times New Roman"/>
          <w:b/>
          <w:bCs/>
          <w:sz w:val="24"/>
        </w:rPr>
        <w:tab/>
      </w:r>
      <w:r>
        <w:rPr>
          <w:rFonts w:hint="default" w:ascii="Times New Roman" w:hAnsi="Times New Roman" w:cs="Times New Roman"/>
          <w:b/>
          <w:bCs/>
          <w:sz w:val="24"/>
        </w:rPr>
        <w:t>Discussion</w:t>
      </w:r>
      <w:r>
        <w:rPr>
          <w:rFonts w:hint="default" w:cs="Times New Roman"/>
          <w:b/>
          <w:bCs/>
          <w:sz w:val="24"/>
          <w:lang w:val="en-IN"/>
        </w:rPr>
        <w:t xml:space="preserve"> and Decision</w:t>
      </w:r>
    </w:p>
    <w:p w14:paraId="0BCBF926">
      <w:pPr>
        <w:pStyle w:val="2"/>
        <w:rPr>
          <w:rFonts w:hint="default" w:ascii="Times New Roman" w:hAnsi="Times New Roman" w:cs="Times New Roman"/>
          <w:lang w:eastAsia="zh-CN"/>
        </w:rPr>
      </w:pPr>
      <w:r>
        <w:rPr>
          <w:rFonts w:hint="default" w:ascii="Times New Roman" w:hAnsi="Times New Roman" w:cs="Times New Roman"/>
        </w:rPr>
        <w:t>1.</w:t>
      </w:r>
      <w:r>
        <w:rPr>
          <w:rFonts w:hint="default" w:ascii="Times New Roman" w:hAnsi="Times New Roman" w:cs="Times New Roman"/>
          <w:lang w:eastAsia="zh-CN"/>
        </w:rPr>
        <w:t xml:space="preserve"> </w:t>
      </w:r>
      <w:r>
        <w:rPr>
          <w:rFonts w:hint="default" w:ascii="Times New Roman" w:hAnsi="Times New Roman" w:cs="Times New Roman"/>
        </w:rPr>
        <w:t>Introduction</w:t>
      </w:r>
    </w:p>
    <w:p w14:paraId="2C404765">
      <w:pPr>
        <w:jc w:val="both"/>
        <w:rPr>
          <w:rFonts w:hint="default" w:ascii="Times New Roman" w:hAnsi="Times New Roman" w:eastAsia="Malgun Gothic" w:cs="Times New Roman"/>
          <w:lang w:eastAsia="ko-KR"/>
        </w:rPr>
      </w:pPr>
      <w:r>
        <w:rPr>
          <w:rFonts w:hint="default" w:ascii="Times New Roman" w:hAnsi="Times New Roman" w:eastAsia="SimSun" w:cs="Times New Roman"/>
          <w:lang w:val="en-US" w:eastAsia="zh-CN"/>
        </w:rPr>
        <w:t>In the RAN3#129bis meeting, discussions on AI/ML for Intra-CU LTM were initiated, and the agreements along with further discussion points are summarized in [1]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2203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4C3A5071">
            <w:pPr>
              <w:widowControl w:val="0"/>
              <w:spacing w:line="276" w:lineRule="auto"/>
              <w:ind w:left="144" w:hanging="144"/>
              <w:rPr>
                <w:rFonts w:cs="Calibri"/>
                <w:b/>
                <w:color w:val="008000"/>
              </w:rPr>
            </w:pPr>
            <w:r>
              <w:rPr>
                <w:rFonts w:cs="Calibri"/>
                <w:b/>
                <w:color w:val="008000"/>
              </w:rPr>
              <w:t xml:space="preserve">Prioritize normal intra-CU LTM scenarios. </w:t>
            </w:r>
          </w:p>
          <w:p w14:paraId="50DB5DF8">
            <w:pPr>
              <w:widowControl w:val="0"/>
              <w:spacing w:line="276" w:lineRule="auto"/>
              <w:rPr>
                <w:rFonts w:cs="Calibri"/>
                <w:b/>
                <w:color w:val="008000"/>
              </w:rPr>
            </w:pPr>
            <w:r>
              <w:rPr>
                <w:rFonts w:cs="Calibri"/>
                <w:b/>
                <w:color w:val="008000"/>
              </w:rPr>
              <w:t>For CU-DU split architecture, the following two scenarios are possible:</w:t>
            </w:r>
          </w:p>
          <w:p w14:paraId="0AB0D8C6">
            <w:pPr>
              <w:widowControl w:val="0"/>
              <w:spacing w:line="276" w:lineRule="auto"/>
              <w:ind w:left="144" w:hanging="144"/>
              <w:rPr>
                <w:rFonts w:cs="Calibri"/>
                <w:b/>
                <w:color w:val="008000"/>
              </w:rPr>
            </w:pPr>
            <w:r>
              <w:rPr>
                <w:rFonts w:cs="Calibri"/>
                <w:b/>
                <w:color w:val="008000"/>
              </w:rPr>
              <w:t>-</w:t>
            </w:r>
            <w:r>
              <w:rPr>
                <w:rFonts w:cs="Calibri"/>
                <w:b/>
                <w:color w:val="008000"/>
              </w:rPr>
              <w:tab/>
            </w:r>
            <w:r>
              <w:rPr>
                <w:rFonts w:cs="Calibri"/>
                <w:b/>
                <w:color w:val="008000"/>
              </w:rPr>
              <w:t xml:space="preserve">AI/ML Model Training is located in the OAM and AI/ML Model Inference is located in the gNB-CU. </w:t>
            </w:r>
          </w:p>
          <w:p w14:paraId="3D78EA10">
            <w:pPr>
              <w:widowControl w:val="0"/>
              <w:spacing w:line="276" w:lineRule="auto"/>
              <w:ind w:left="144" w:hanging="144"/>
              <w:rPr>
                <w:rFonts w:cs="Calibri"/>
                <w:b/>
                <w:color w:val="008000"/>
              </w:rPr>
            </w:pPr>
            <w:r>
              <w:rPr>
                <w:rFonts w:cs="Calibri"/>
                <w:b/>
                <w:color w:val="008000"/>
              </w:rPr>
              <w:t>-</w:t>
            </w:r>
            <w:r>
              <w:rPr>
                <w:rFonts w:cs="Calibri"/>
                <w:b/>
                <w:color w:val="008000"/>
              </w:rPr>
              <w:tab/>
            </w:r>
            <w:r>
              <w:rPr>
                <w:rFonts w:cs="Calibri"/>
                <w:b/>
                <w:color w:val="008000"/>
              </w:rPr>
              <w:t>AI/ML Model Training and Model Inference are both located in the gNB-CU.</w:t>
            </w:r>
          </w:p>
          <w:p w14:paraId="4092D3FD">
            <w:pPr>
              <w:widowControl w:val="0"/>
              <w:spacing w:line="276" w:lineRule="auto"/>
              <w:ind w:left="144" w:hanging="144"/>
              <w:rPr>
                <w:rFonts w:cs="Calibri"/>
                <w:b/>
                <w:color w:val="008000"/>
                <w:lang w:eastAsia="en-US"/>
              </w:rPr>
            </w:pPr>
            <w:r>
              <w:rPr>
                <w:rFonts w:cs="Calibri"/>
                <w:b/>
                <w:color w:val="008000"/>
                <w:lang w:eastAsia="en-US"/>
              </w:rPr>
              <w:t>AI/ML assisted candidate cell selection for LTM Handover Preparation</w:t>
            </w:r>
          </w:p>
          <w:p w14:paraId="00C3EA72">
            <w:pPr>
              <w:widowControl w:val="0"/>
              <w:spacing w:line="276" w:lineRule="auto"/>
              <w:ind w:left="144" w:hanging="144"/>
              <w:rPr>
                <w:rFonts w:cs="Calibri"/>
                <w:b/>
                <w:color w:val="008000"/>
              </w:rPr>
            </w:pPr>
            <w:r>
              <w:rPr>
                <w:rFonts w:cs="Calibri"/>
                <w:b/>
                <w:color w:val="008000"/>
              </w:rPr>
              <w:t>Study candidate beams along with candidate cells for AI/ML based Intra-CU LTM HO preparation.</w:t>
            </w:r>
          </w:p>
          <w:p w14:paraId="33345CAE">
            <w:pPr>
              <w:widowControl w:val="0"/>
              <w:spacing w:line="276" w:lineRule="auto"/>
              <w:ind w:left="144" w:hanging="144"/>
              <w:rPr>
                <w:rFonts w:cs="Calibri"/>
                <w:b/>
                <w:color w:val="0000FF"/>
              </w:rPr>
            </w:pPr>
            <w:r>
              <w:rPr>
                <w:rFonts w:cs="Calibri"/>
                <w:b/>
                <w:color w:val="0000FF"/>
              </w:rPr>
              <w:t>RAN3 can further discuss</w:t>
            </w:r>
          </w:p>
          <w:p w14:paraId="17F72E9D">
            <w:pPr>
              <w:widowControl w:val="0"/>
              <w:spacing w:line="276" w:lineRule="auto"/>
              <w:ind w:left="144" w:hanging="144"/>
              <w:rPr>
                <w:rFonts w:cs="Calibri"/>
                <w:b/>
                <w:color w:val="0000FF"/>
              </w:rPr>
            </w:pPr>
            <w:r>
              <w:rPr>
                <w:rFonts w:cs="Calibri"/>
                <w:b/>
                <w:color w:val="0000FF"/>
              </w:rPr>
              <w:t>For AI/ML study we consider both L1 and L3 measurement based Intra-CU LTM.</w:t>
            </w:r>
          </w:p>
          <w:p w14:paraId="54C667C1">
            <w:pPr>
              <w:widowControl w:val="0"/>
              <w:spacing w:line="276" w:lineRule="auto"/>
              <w:ind w:left="144" w:hanging="144"/>
              <w:rPr>
                <w:rFonts w:cs="Calibri"/>
                <w:b/>
                <w:color w:val="0000FF"/>
              </w:rPr>
            </w:pPr>
            <w:r>
              <w:rPr>
                <w:rFonts w:cs="Calibri"/>
                <w:b/>
                <w:color w:val="0000FF"/>
              </w:rPr>
              <w:t>whether to study addition of beam prediction in UE Trajectory prediction.</w:t>
            </w:r>
          </w:p>
          <w:p w14:paraId="0EDE18C8">
            <w:pPr>
              <w:widowControl w:val="0"/>
              <w:spacing w:line="276" w:lineRule="auto"/>
              <w:ind w:left="144" w:hanging="144"/>
              <w:rPr>
                <w:rFonts w:cs="Calibri"/>
                <w:b/>
                <w:color w:val="0000FF"/>
              </w:rPr>
            </w:pPr>
            <w:r>
              <w:rPr>
                <w:rFonts w:cs="Calibri"/>
                <w:b/>
                <w:color w:val="0000FF"/>
              </w:rPr>
              <w:t>predicting TA value in the next meeting.</w:t>
            </w:r>
          </w:p>
          <w:p w14:paraId="12943389">
            <w:pPr>
              <w:widowControl w:val="0"/>
              <w:spacing w:line="276" w:lineRule="auto"/>
              <w:ind w:left="144" w:hanging="144"/>
              <w:rPr>
                <w:rFonts w:hint="default" w:ascii="Times New Roman" w:hAnsi="Times New Roman" w:eastAsia="Malgun Gothic" w:cs="Times New Roman"/>
                <w:bCs/>
                <w:color w:val="0000FF"/>
                <w:sz w:val="18"/>
                <w:szCs w:val="24"/>
                <w:lang w:eastAsia="ko-KR"/>
              </w:rPr>
            </w:pPr>
            <w:r>
              <w:rPr>
                <w:rFonts w:cs="Calibri"/>
                <w:b/>
                <w:bCs/>
                <w:color w:val="0000FF"/>
              </w:rPr>
              <w:t>prediction of validity time of a measured TA value.</w:t>
            </w:r>
          </w:p>
        </w:tc>
      </w:tr>
    </w:tbl>
    <w:p w14:paraId="13B68BD5">
      <w:pPr>
        <w:spacing w:before="180"/>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 xml:space="preserve">In this contribution, we would discuss </w:t>
      </w:r>
      <w:r>
        <w:rPr>
          <w:rFonts w:hint="default" w:eastAsia="等线" w:cs="Times New Roman"/>
          <w:lang w:val="en-IN" w:eastAsia="zh-CN"/>
        </w:rPr>
        <w:t xml:space="preserve">the open points on AI/ML for Intra-CU LTM </w:t>
      </w:r>
      <w:r>
        <w:rPr>
          <w:rFonts w:hint="default" w:ascii="Times New Roman" w:hAnsi="Times New Roman" w:eastAsia="SimSun" w:cs="Times New Roman"/>
          <w:lang w:val="en-US" w:eastAsia="zh-CN"/>
        </w:rPr>
        <w:t xml:space="preserve">and </w:t>
      </w:r>
      <w:r>
        <w:rPr>
          <w:rFonts w:hint="default" w:ascii="Times New Roman" w:hAnsi="Times New Roman" w:eastAsia="等线" w:cs="Times New Roman"/>
          <w:lang w:val="en-US" w:eastAsia="zh-CN"/>
        </w:rPr>
        <w:t>provide some proposals.</w:t>
      </w:r>
    </w:p>
    <w:p w14:paraId="6BF379C6">
      <w:pPr>
        <w:pStyle w:val="2"/>
        <w:rPr>
          <w:rFonts w:hint="default" w:ascii="Times New Roman" w:hAnsi="Times New Roman" w:eastAsia="Malgun Gothic" w:cs="Times New Roman"/>
          <w:lang w:eastAsia="ko-KR"/>
        </w:rPr>
      </w:pPr>
      <w:r>
        <w:rPr>
          <w:rFonts w:hint="default" w:ascii="Times New Roman" w:hAnsi="Times New Roman" w:cs="Times New Roman"/>
          <w:lang w:eastAsia="zh-CN"/>
        </w:rPr>
        <w:t xml:space="preserve">2. </w:t>
      </w:r>
      <w:r>
        <w:rPr>
          <w:rFonts w:hint="default" w:ascii="Times New Roman" w:hAnsi="Times New Roman" w:eastAsia="Malgun Gothic" w:cs="Times New Roman"/>
          <w:lang w:eastAsia="ko-KR"/>
        </w:rPr>
        <w:t>Discussion</w:t>
      </w:r>
    </w:p>
    <w:p w14:paraId="2BC048BB">
      <w:pPr>
        <w:pStyle w:val="3"/>
        <w:rPr>
          <w:rFonts w:hint="default" w:ascii="Times New Roman" w:hAnsi="Times New Roman" w:eastAsia="Malgun Gothic" w:cs="Times New Roman"/>
          <w:lang w:val="en-IN" w:eastAsia="ko-KR"/>
        </w:rPr>
      </w:pPr>
      <w:r>
        <w:rPr>
          <w:rFonts w:hint="default" w:ascii="Times New Roman" w:hAnsi="Times New Roman" w:eastAsia="Malgun Gothic" w:cs="Times New Roman"/>
          <w:lang w:eastAsia="ko-KR"/>
        </w:rPr>
        <w:t>2.1 Beam-Level Prediction and Configuration</w:t>
      </w:r>
    </w:p>
    <w:p w14:paraId="04C46A8F">
      <w:p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 xml:space="preserve">Observation: </w:t>
      </w:r>
    </w:p>
    <w:p w14:paraId="2CED5E7A">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Intra-CU LTM currently supports both L1 and L3 measurement-based configurations for candidate cell selection. However, optimal LTM performance depends not only on target cell selection but also on the correct beam selection within the target cell for early synchronization and subsequent LTM execution.</w:t>
      </w:r>
      <w:r>
        <w:rPr>
          <w:rFonts w:hint="default" w:ascii="Times New Roman" w:hAnsi="Times New Roman" w:eastAsia="굴림"/>
          <w:color w:val="222222"/>
          <w:lang w:val="en-IN" w:eastAsia="ko-KR"/>
        </w:rPr>
        <w:t xml:space="preserve"> </w:t>
      </w:r>
      <w:r>
        <w:rPr>
          <w:rFonts w:hint="default" w:ascii="Times New Roman" w:hAnsi="Times New Roman" w:eastAsia="굴림"/>
          <w:color w:val="222222"/>
          <w:lang w:val="en-GB" w:eastAsia="ko-KR"/>
        </w:rPr>
        <w:t>In the conventional intra-CU LTM operation, the gNB-CU is responsible for determining whether an LTM configuration should be initiated based on L3 measurement results and for identifying the candidate cells to be considered for LTM. For each selected candidate cell, the gNB-CU initiates a UE CONTEXT MODIFICATION REQUEST procedure toward the gNB-DU, providing the candidate cell identifier along with the corresponding CSI resource configuration required for subsequent LTM execution. Upon successful acceptance, the gNB-DU responds with a UE CONTEXT MODIFICATION RESPONSE message, which includes the derived lower-layer RRC configuration parameters and the TCI state configuration associated with the approved candidate cell.</w:t>
      </w:r>
      <w:r>
        <w:rPr>
          <w:rFonts w:hint="default" w:ascii="Times New Roman" w:hAnsi="Times New Roman" w:eastAsia="굴림"/>
          <w:color w:val="222222"/>
          <w:lang w:val="en-GB" w:eastAsia="ko-KR"/>
        </w:rPr>
        <w:br w:type="textWrapping"/>
      </w:r>
      <w:r>
        <w:rPr>
          <w:rFonts w:hint="default" w:ascii="Times New Roman" w:hAnsi="Times New Roman" w:eastAsia="굴림"/>
          <w:color w:val="222222"/>
          <w:lang w:val="en-IN" w:eastAsia="ko-KR"/>
        </w:rPr>
        <w:t>Existing measurement-based approaches rely primarily on instantaneous RSRP/RSRQ and CSI measurements and do not fully exploit spatial–temporal patterns in UE mobility or beam association history.</w:t>
      </w:r>
    </w:p>
    <w:p w14:paraId="04C009F5">
      <w:pPr>
        <w:overflowPunct/>
        <w:autoSpaceDE/>
        <w:autoSpaceDN/>
        <w:adjustRightInd/>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AI/ML-based prediction models can address this limitation by learning from:</w:t>
      </w:r>
    </w:p>
    <w:p w14:paraId="49745CF5">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Historical UE movement and beam measurement reports,</w:t>
      </w:r>
    </w:p>
    <w:p w14:paraId="428289C2">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Radio environment data (e.g., blockage, angular spread, and beam transitions), and</w:t>
      </w:r>
    </w:p>
    <w:p w14:paraId="0CE5DB61">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Prior LTM or handover outcomes.</w:t>
      </w:r>
    </w:p>
    <w:p w14:paraId="7E2576EF">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Such models can predict the next likely target beam index and TCI state before LTM triggering. This enables proactive configuration of beam resources and improves both reliability and efficiency of the LTM process.</w:t>
      </w:r>
      <w:r>
        <w:rPr>
          <w:rFonts w:hint="default" w:eastAsia="굴림"/>
          <w:b w:val="0"/>
          <w:bCs w:val="0"/>
          <w:color w:val="222222"/>
          <w:lang w:val="en-IN" w:eastAsia="ko-KR"/>
        </w:rPr>
        <w:t xml:space="preserve"> </w:t>
      </w:r>
      <w:r>
        <w:rPr>
          <w:rFonts w:hint="default" w:ascii="Times New Roman" w:hAnsi="Times New Roman" w:eastAsia="굴림"/>
          <w:b w:val="0"/>
          <w:bCs w:val="0"/>
          <w:color w:val="222222"/>
          <w:lang w:val="en-GB" w:eastAsia="ko-KR"/>
        </w:rPr>
        <w:t>In addition, the correlation between cell-beam relations can be exploited to support early synchronization and beam reselection during fast mobility scenarios.</w:t>
      </w:r>
    </w:p>
    <w:p w14:paraId="194266CA">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Moreover, beam-to-beam correspondence learning between source and target cells can enhance early synchronization accuracy and reduce handover failures. AI/ML can also aid dynamic adaptation of candidate cell and beam sets according to predicted L3 measurements and UE trajectory.</w:t>
      </w:r>
    </w:p>
    <w:p w14:paraId="3BB79EDC">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For L1-based LTM, DU-level inference may handle near real-time beam prediction, whereas for L3-based LTM, CU-level AI models can perform higher-level prediction using global mobility and beam data. Coordinated inference across CU and DU ensures low latency and optimal beam selection under high-speed or dense deployment scenarios.</w:t>
      </w:r>
    </w:p>
    <w:p w14:paraId="609696F0">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Proposal 1: </w:t>
      </w:r>
      <w:r>
        <w:rPr>
          <w:rFonts w:hint="default" w:ascii="Times New Roman" w:hAnsi="Times New Roman" w:eastAsia="굴림"/>
          <w:b/>
          <w:bCs/>
          <w:color w:val="222222"/>
          <w:lang w:val="en-GB" w:eastAsia="ko-KR"/>
        </w:rPr>
        <w:t xml:space="preserve">RAN3 </w:t>
      </w:r>
      <w:r>
        <w:rPr>
          <w:rFonts w:hint="default" w:eastAsia="굴림"/>
          <w:b/>
          <w:bCs/>
          <w:color w:val="222222"/>
          <w:lang w:val="en-IN" w:eastAsia="ko-KR"/>
        </w:rPr>
        <w:t>should</w:t>
      </w:r>
      <w:r>
        <w:rPr>
          <w:rFonts w:hint="default" w:ascii="Times New Roman" w:hAnsi="Times New Roman" w:eastAsia="굴림"/>
          <w:b/>
          <w:bCs/>
          <w:color w:val="222222"/>
          <w:lang w:val="en-GB" w:eastAsia="ko-KR"/>
        </w:rPr>
        <w:t xml:space="preserve"> study AI/ML-assisted beam-level prediction and pre-selection mechanisms to support Intra-CU LTM.</w:t>
      </w:r>
      <w:r>
        <w:rPr>
          <w:rFonts w:hint="default" w:ascii="Times New Roman" w:hAnsi="Times New Roman" w:eastAsia="굴림"/>
          <w:b/>
          <w:bCs/>
          <w:color w:val="222222"/>
          <w:lang w:val="en-GB" w:eastAsia="ko-KR"/>
        </w:rPr>
        <w:br w:type="textWrapping"/>
      </w:r>
    </w:p>
    <w:p w14:paraId="60232DF6">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Proposal 2: </w:t>
      </w:r>
      <w:r>
        <w:rPr>
          <w:rFonts w:hint="default" w:ascii="Times New Roman" w:hAnsi="Times New Roman" w:eastAsia="굴림"/>
          <w:b/>
          <w:bCs/>
          <w:color w:val="222222"/>
          <w:lang w:val="en-GB" w:eastAsia="ko-KR"/>
        </w:rPr>
        <w:t>The study may include:</w:t>
      </w:r>
    </w:p>
    <w:p w14:paraId="416E4E5B">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Prediction of target beam index and corresponding TCI state before LTM triggering, leveraging UE mobility patterns and radio environment data.</w:t>
      </w:r>
    </w:p>
    <w:p w14:paraId="3F06FC30">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eastAsia="굴림"/>
          <w:b/>
          <w:bCs/>
          <w:color w:val="222222"/>
          <w:lang w:val="en-IN" w:eastAsia="ko-KR"/>
        </w:rPr>
        <w:t>- Investigation of hierarchical AI/ML model deployment between CU and DU for real-time inference;</w:t>
      </w:r>
    </w:p>
    <w:p w14:paraId="7CB9D6E0">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Correlation of cell-beam relations learned from prior LTM or HO events to assist early synchronization and LTM execution.</w:t>
      </w:r>
    </w:p>
    <w:p w14:paraId="0AAF794B">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Dynamic adaptation of beam-level configurations (e.g., TCI activation, CSI-RS resources) based on predicted UE trajectory and beam history.</w:t>
      </w:r>
    </w:p>
    <w:p w14:paraId="63121C36">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Evaluation of performance gains in terms of LTM success rate, latency reduction, and signaling efficiency compared to purely measurement-based schemes.</w:t>
      </w:r>
    </w:p>
    <w:p w14:paraId="647320DA">
      <w:pPr>
        <w:pStyle w:val="3"/>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 xml:space="preserve">2.2 </w:t>
      </w:r>
      <w:r>
        <w:rPr>
          <w:rFonts w:hint="default" w:ascii="Times New Roman" w:hAnsi="Times New Roman" w:eastAsia="Malgun Gothic"/>
          <w:lang w:eastAsia="ko-KR"/>
        </w:rPr>
        <w:t>Early Timing Advance Prediction and Synchronization Optimization</w:t>
      </w:r>
    </w:p>
    <w:p w14:paraId="5DC8D452">
      <w:p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 xml:space="preserve">Observation: </w:t>
      </w:r>
    </w:p>
    <w:p w14:paraId="723EB423">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The LTM framework supports two types of early synchronization mechanisms depending on measurement configuration—L1 measurement-based and L3 measurement-based. Each early synchronization event introduces additional signaling overhead, both across network nodes and toward the UE. Furthermore, certain gNB-DU implementations may experience short interruptions at the source DU while waiting for the TA value from the target cell. Hence, the overall optimization goal is to trigger early synchronization only for the most promising candidate cells, thereby minimizing signaling and reducing service interruption.</w:t>
      </w:r>
    </w:p>
    <w:p w14:paraId="13BEAB2E">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 xml:space="preserve">In </w:t>
      </w:r>
      <w:r>
        <w:rPr>
          <w:rFonts w:hint="default" w:ascii="Times New Roman" w:hAnsi="Times New Roman" w:eastAsia="굴림"/>
          <w:b/>
          <w:bCs/>
          <w:color w:val="222222"/>
          <w:lang w:val="en-GB" w:eastAsia="ko-KR"/>
        </w:rPr>
        <w:t>L1-based LTM</w:t>
      </w:r>
      <w:r>
        <w:rPr>
          <w:rFonts w:hint="default" w:ascii="Times New Roman" w:hAnsi="Times New Roman" w:eastAsia="굴림"/>
          <w:b w:val="0"/>
          <w:bCs w:val="0"/>
          <w:color w:val="222222"/>
          <w:lang w:val="en-GB" w:eastAsia="ko-KR"/>
        </w:rPr>
        <w:t xml:space="preserve">, the decision to trigger early synchronization resides in the </w:t>
      </w:r>
      <w:r>
        <w:rPr>
          <w:rFonts w:hint="default" w:ascii="Times New Roman" w:hAnsi="Times New Roman" w:eastAsia="굴림"/>
          <w:b/>
          <w:bCs/>
          <w:color w:val="222222"/>
          <w:lang w:val="en-GB" w:eastAsia="ko-KR"/>
        </w:rPr>
        <w:t>gNB-DU</w:t>
      </w:r>
      <w:r>
        <w:rPr>
          <w:rFonts w:hint="default" w:ascii="Times New Roman" w:hAnsi="Times New Roman" w:eastAsia="굴림"/>
          <w:b w:val="0"/>
          <w:bCs w:val="0"/>
          <w:color w:val="222222"/>
          <w:lang w:val="en-GB" w:eastAsia="ko-KR"/>
        </w:rPr>
        <w:t xml:space="preserve">, while in </w:t>
      </w:r>
      <w:r>
        <w:rPr>
          <w:rFonts w:hint="default" w:ascii="Times New Roman" w:hAnsi="Times New Roman" w:eastAsia="굴림"/>
          <w:b/>
          <w:bCs/>
          <w:color w:val="222222"/>
          <w:lang w:val="en-GB" w:eastAsia="ko-KR"/>
        </w:rPr>
        <w:t>L3-based LTM</w:t>
      </w:r>
      <w:r>
        <w:rPr>
          <w:rFonts w:hint="default" w:ascii="Times New Roman" w:hAnsi="Times New Roman" w:eastAsia="굴림"/>
          <w:b w:val="0"/>
          <w:bCs w:val="0"/>
          <w:color w:val="222222"/>
          <w:lang w:val="en-GB" w:eastAsia="ko-KR"/>
        </w:rPr>
        <w:t xml:space="preserve">, the </w:t>
      </w:r>
      <w:r>
        <w:rPr>
          <w:rFonts w:hint="default" w:ascii="Times New Roman" w:hAnsi="Times New Roman" w:eastAsia="굴림"/>
          <w:b/>
          <w:bCs/>
          <w:color w:val="222222"/>
          <w:lang w:val="en-GB" w:eastAsia="ko-KR"/>
        </w:rPr>
        <w:t>gNB-CU</w:t>
      </w:r>
      <w:r>
        <w:rPr>
          <w:rFonts w:hint="default" w:ascii="Times New Roman" w:hAnsi="Times New Roman" w:eastAsia="굴림"/>
          <w:b w:val="0"/>
          <w:bCs w:val="0"/>
          <w:color w:val="222222"/>
          <w:lang w:val="en-GB" w:eastAsia="ko-KR"/>
        </w:rPr>
        <w:t xml:space="preserve"> typically makes the decision and informs the DU accordingly. Therefore, identifying the appropriate information and mechanisms to aid optimal candidate selection for early synchronization, as well as defining the information exchanged between the CU and DUs, are critical study points.</w:t>
      </w:r>
    </w:p>
    <w:p w14:paraId="66C99031">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 xml:space="preserve">In the </w:t>
      </w:r>
      <w:r>
        <w:rPr>
          <w:rFonts w:hint="default" w:ascii="Times New Roman" w:hAnsi="Times New Roman" w:eastAsia="굴림"/>
          <w:b/>
          <w:bCs/>
          <w:color w:val="222222"/>
          <w:lang w:val="en-GB" w:eastAsia="ko-KR"/>
        </w:rPr>
        <w:t>legacy LTM procedure</w:t>
      </w:r>
      <w:r>
        <w:rPr>
          <w:rFonts w:hint="default" w:ascii="Times New Roman" w:hAnsi="Times New Roman" w:eastAsia="굴림"/>
          <w:b w:val="0"/>
          <w:bCs w:val="0"/>
          <w:color w:val="222222"/>
          <w:lang w:val="en-GB" w:eastAsia="ko-KR"/>
        </w:rPr>
        <w:t>, the early TA acquisition is initiated by a PDCCH order from the source DU. The candidate DU then calculates the TA value and reports it to the source DU via the CU. Each early TA acquisition, however, requires the UE to temporarily redirect its transmission toward the candidate cell and perform a RACH-based procedure, causing short interruptions and increased signaling when multiple candidate cells are configured.</w:t>
      </w:r>
    </w:p>
    <w:p w14:paraId="19966852">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AI/ML mechanisms can enhance the accuracy and efficiency of early TA acquisition in several ways:</w:t>
      </w:r>
    </w:p>
    <w:p w14:paraId="5FE02D5A">
      <w:pPr>
        <w:overflowPunct/>
        <w:autoSpaceDE/>
        <w:autoSpaceDN/>
        <w:adjustRightInd/>
        <w:jc w:val="both"/>
        <w:textAlignment w:val="auto"/>
        <w:rPr>
          <w:rFonts w:hint="default" w:ascii="Times New Roman" w:hAnsi="Times New Roman" w:eastAsia="굴림"/>
          <w:b/>
          <w:bCs/>
          <w:color w:val="222222"/>
          <w:lang w:val="en-GB" w:eastAsia="ko-KR"/>
        </w:rPr>
      </w:pPr>
    </w:p>
    <w:p w14:paraId="2C3A1E4E">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By predicting TA values for candidate cells using historical UE location, timing, and measurement data, eliminating the need for actual early TA procedures.</w:t>
      </w:r>
    </w:p>
    <w:p w14:paraId="4E902660">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By allowing the source DU or CU to pre-compute and provide the TA value to the UE through control signaling (e.g., LTM Cell Switch Command MAC CE), thus reducing uplink synchronization delay.</w:t>
      </w:r>
    </w:p>
    <w:p w14:paraId="6C3445DC">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By predicting the validity duration of the TA value considering UE mobility and trajectory evolution, ensuring the TA remains applicable during the LTM execution window.</w:t>
      </w:r>
    </w:p>
    <w:p w14:paraId="5DC0CC01">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By reducing F1 interface signaling load, as predicted TA values can be shared among involved gNB nodes without redundant measurement exchanges.</w:t>
      </w:r>
    </w:p>
    <w:p w14:paraId="725FAA04">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By supporting DU-level inference for low-latency prediction (in L1-based cases) and CU-level inference for cross-cell learning (in L3-based cases).</w:t>
      </w:r>
    </w:p>
    <w:p w14:paraId="728DE4BB">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Overall, the introduction of AI/ML-assisted TA prediction and validation mechanisms can significantly decrease signaling overhead, reduce service interruption, and improve LTM efficiency in dense and high-mobility scenarios.</w:t>
      </w:r>
    </w:p>
    <w:p w14:paraId="5D94B888">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3</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 xml:space="preserve">RAN3 </w:t>
      </w:r>
      <w:r>
        <w:rPr>
          <w:rFonts w:hint="default" w:eastAsia="굴림"/>
          <w:b/>
          <w:bCs/>
          <w:color w:val="222222"/>
          <w:lang w:val="en-IN" w:eastAsia="ko-KR"/>
        </w:rPr>
        <w:t>should</w:t>
      </w:r>
      <w:r>
        <w:rPr>
          <w:rFonts w:hint="default" w:ascii="Times New Roman" w:hAnsi="Times New Roman" w:eastAsia="굴림"/>
          <w:b/>
          <w:bCs/>
          <w:color w:val="222222"/>
          <w:lang w:val="en-GB" w:eastAsia="ko-KR"/>
        </w:rPr>
        <w:t xml:space="preserve"> study AI/ML-based early TA prediction, where the gNB-CU or gNB-DU predicts the TA value for each candidate cell based on historical timing and mobility data, eliminating the need for explicit early TA acquisition procedures.</w:t>
      </w:r>
    </w:p>
    <w:p w14:paraId="2B7BA307">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Proposal</w:t>
      </w:r>
      <w:r>
        <w:rPr>
          <w:rFonts w:hint="default" w:eastAsia="굴림"/>
          <w:b/>
          <w:bCs/>
          <w:color w:val="222222"/>
          <w:lang w:val="en-IN" w:eastAsia="ko-KR"/>
        </w:rPr>
        <w:t xml:space="preserve"> 4</w:t>
      </w:r>
      <w:r>
        <w:rPr>
          <w:rFonts w:hint="default" w:ascii="Times New Roman" w:hAnsi="Times New Roman" w:eastAsia="굴림"/>
          <w:b/>
          <w:bCs/>
          <w:color w:val="222222"/>
          <w:lang w:val="en-GB" w:eastAsia="ko-KR"/>
        </w:rPr>
        <w:t xml:space="preserve"> :</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RAN3 to investigate AI/ML mechanisms for optimized triggering of early synchronization (DL and UL) in both L1-based and L3-based LTM cases, aiming to reduce redundant signaling and UE interruption.</w:t>
      </w:r>
    </w:p>
    <w:p w14:paraId="11AD3003">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5</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The predicted TA value and its validity time should be included as outputs of the AI/ML model, ensuring applicability of the predicted value within the LTM execution window and avoiding outdated TA configurations.</w:t>
      </w:r>
    </w:p>
    <w:p w14:paraId="1D27EA6D">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6</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RAN3 to evaluate potential reductions in F1 interface signaling and improvements in handover latency and reliability when AI/ML-based TA prediction is adopted, compared to conventional measurement-based TA acquisition.</w:t>
      </w:r>
    </w:p>
    <w:p w14:paraId="4F173F68">
      <w:pPr>
        <w:pStyle w:val="3"/>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2.</w:t>
      </w:r>
      <w:r>
        <w:rPr>
          <w:rFonts w:hint="default" w:ascii="Times New Roman" w:hAnsi="Times New Roman" w:eastAsia="Malgun Gothic" w:cs="Times New Roman"/>
          <w:lang w:val="en-IN" w:eastAsia="ko-KR"/>
        </w:rPr>
        <w:t>3</w:t>
      </w:r>
      <w:r>
        <w:rPr>
          <w:rFonts w:hint="default" w:ascii="Times New Roman" w:hAnsi="Times New Roman" w:eastAsia="Malgun Gothic" w:cs="Times New Roman"/>
          <w:lang w:eastAsia="ko-KR"/>
        </w:rPr>
        <w:t xml:space="preserve"> </w:t>
      </w:r>
      <w:r>
        <w:rPr>
          <w:rFonts w:hint="default" w:ascii="Times New Roman" w:hAnsi="Times New Roman" w:eastAsia="Malgun Gothic" w:cs="Times New Roman"/>
          <w:lang w:val="en-IN" w:eastAsia="ko-KR"/>
        </w:rPr>
        <w:t>Mobility Class Aware optimization</w:t>
      </w:r>
    </w:p>
    <w:p w14:paraId="4F421A93">
      <w:p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 xml:space="preserve">Observation: </w:t>
      </w:r>
    </w:p>
    <w:p w14:paraId="191EF4BF">
      <w:pPr>
        <w:overflowPunct/>
        <w:autoSpaceDE/>
        <w:autoSpaceDN/>
        <w:adjustRightInd/>
        <w:jc w:val="both"/>
        <w:textAlignment w:val="auto"/>
        <w:rPr>
          <w:rFonts w:hint="default" w:eastAsia="굴림"/>
          <w:b w:val="0"/>
          <w:bCs w:val="0"/>
          <w:color w:val="222222"/>
          <w:lang w:val="en-IN" w:eastAsia="ko-KR"/>
        </w:rPr>
      </w:pPr>
      <w:r>
        <w:rPr>
          <w:rFonts w:hint="default" w:eastAsia="굴림"/>
          <w:b w:val="0"/>
          <w:bCs w:val="0"/>
          <w:color w:val="222222"/>
          <w:lang w:val="en-IN" w:eastAsia="ko-KR"/>
        </w:rPr>
        <w:t>Intra-CU LTM procedures covering beam-level prediction, early synchronization, and Timing Advance (TA) estimation—exhibit performance dependencies on the UE mobility class (e.g., low, medium, or high mobility).</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658A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67E9BA34">
            <w:pPr>
              <w:widowControl w:val="0"/>
              <w:spacing w:line="276" w:lineRule="auto"/>
              <w:ind w:left="144" w:hanging="144"/>
              <w:rPr>
                <w:rFonts w:hint="default" w:cs="Calibri"/>
                <w:b/>
                <w:color w:val="008000"/>
                <w:lang w:val="en-IN" w:eastAsia="ko-KR"/>
              </w:rPr>
            </w:pPr>
            <w:r>
              <w:rPr>
                <w:rFonts w:hint="default" w:cs="Calibri"/>
                <w:b/>
                <w:color w:val="008000"/>
                <w:lang w:val="en-IN" w:eastAsia="ko-KR"/>
              </w:rPr>
              <w:t>3GPP TS 38.300 [2] and related specs broadly categorize UEs into mobility classes:</w:t>
            </w:r>
          </w:p>
          <w:p w14:paraId="38B1A0E5">
            <w:pPr>
              <w:widowControl w:val="0"/>
              <w:spacing w:line="276" w:lineRule="auto"/>
              <w:ind w:left="144" w:hanging="144"/>
              <w:rPr>
                <w:rFonts w:hint="default" w:cs="Calibri"/>
                <w:b/>
                <w:color w:val="008000"/>
                <w:lang w:val="en-IN" w:eastAsia="ko-KR"/>
              </w:rPr>
            </w:pPr>
            <w:r>
              <w:rPr>
                <w:rFonts w:hint="default" w:cs="Calibri"/>
                <w:b/>
                <w:color w:val="008000"/>
                <w:lang w:val="en-IN" w:eastAsia="ko-KR"/>
              </w:rPr>
              <w:t>Low mobility: Pedestrian or stationary users (≤ 10 km/h)</w:t>
            </w:r>
          </w:p>
          <w:p w14:paraId="1FC7BAFD">
            <w:pPr>
              <w:widowControl w:val="0"/>
              <w:spacing w:line="276" w:lineRule="auto"/>
              <w:ind w:left="144" w:hanging="144"/>
              <w:rPr>
                <w:rFonts w:hint="default" w:cs="Calibri"/>
                <w:b/>
                <w:color w:val="008000"/>
                <w:lang w:val="en-IN" w:eastAsia="ko-KR"/>
              </w:rPr>
            </w:pPr>
            <w:r>
              <w:rPr>
                <w:rFonts w:hint="default" w:cs="Calibri"/>
                <w:b/>
                <w:color w:val="008000"/>
                <w:lang w:val="en-IN" w:eastAsia="ko-KR"/>
              </w:rPr>
              <w:t>Medium mobility: Typical vehicular users (~10–120 km/h)</w:t>
            </w:r>
          </w:p>
          <w:p w14:paraId="5C01A5BE">
            <w:pPr>
              <w:widowControl w:val="0"/>
              <w:spacing w:line="276" w:lineRule="auto"/>
              <w:ind w:left="144" w:hanging="144"/>
              <w:rPr>
                <w:rFonts w:hint="default" w:ascii="Times New Roman" w:hAnsi="Times New Roman" w:eastAsia="Malgun Gothic" w:cs="Times New Roman"/>
                <w:bCs/>
                <w:color w:val="0000FF"/>
                <w:sz w:val="18"/>
                <w:szCs w:val="24"/>
                <w:lang w:eastAsia="ko-KR"/>
              </w:rPr>
            </w:pPr>
            <w:r>
              <w:rPr>
                <w:rFonts w:hint="default" w:cs="Calibri"/>
                <w:b/>
                <w:color w:val="008000"/>
                <w:lang w:val="en-IN" w:eastAsia="ko-KR"/>
              </w:rPr>
              <w:t>High mobility: High-speed train or aerial UEs (&gt; 120 km/h)</w:t>
            </w:r>
          </w:p>
        </w:tc>
      </w:tr>
    </w:tbl>
    <w:p w14:paraId="38B758CB">
      <w:pPr>
        <w:overflowPunct/>
        <w:autoSpaceDE/>
        <w:autoSpaceDN/>
        <w:adjustRightInd/>
        <w:jc w:val="both"/>
        <w:textAlignment w:val="auto"/>
        <w:rPr>
          <w:rFonts w:hint="default" w:ascii="Times New Roman" w:hAnsi="Times New Roman" w:eastAsia="굴림"/>
          <w:b/>
          <w:bCs/>
          <w:color w:val="222222"/>
          <w:lang w:val="en-GB" w:eastAsia="ko-KR"/>
        </w:rPr>
      </w:pPr>
    </w:p>
    <w:p w14:paraId="635C8482">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The rate of variation in beam index, TCI state, and TA values differs significantly across mobility types. For instance, low-mobility UEs typically experience stable beam associations and slow TA drift, while high-mobility UEs (e.g., high-speed train or UAV scenarios) encounter rapid beam transitions, short beam coherence times, and frequent TA updates.</w:t>
      </w:r>
    </w:p>
    <w:p w14:paraId="3A7AEABF">
      <w:pPr>
        <w:overflowPunct/>
        <w:autoSpaceDE/>
        <w:autoSpaceDN/>
        <w:adjustRightInd/>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 xml:space="preserve">Current measurement-based LTM schemes apply uniform procedures and thresholds irrespective of mobility conditions, which can result in </w:t>
      </w:r>
      <w:r>
        <w:rPr>
          <w:rFonts w:hint="default" w:ascii="Times New Roman" w:hAnsi="Times New Roman" w:eastAsia="굴림"/>
          <w:b/>
          <w:bCs/>
          <w:color w:val="222222"/>
          <w:lang w:val="en-GB" w:eastAsia="ko-KR"/>
        </w:rPr>
        <w:t>unnecessary signaling overhead</w:t>
      </w:r>
      <w:r>
        <w:rPr>
          <w:rFonts w:hint="default" w:ascii="Times New Roman" w:hAnsi="Times New Roman" w:eastAsia="굴림"/>
          <w:b w:val="0"/>
          <w:bCs w:val="0"/>
          <w:color w:val="222222"/>
          <w:lang w:val="en-GB" w:eastAsia="ko-KR"/>
        </w:rPr>
        <w:t xml:space="preserve"> for low-mobility users and </w:t>
      </w:r>
      <w:r>
        <w:rPr>
          <w:rFonts w:hint="default" w:ascii="Times New Roman" w:hAnsi="Times New Roman" w:eastAsia="굴림"/>
          <w:b/>
          <w:bCs/>
          <w:color w:val="222222"/>
          <w:lang w:val="en-GB" w:eastAsia="ko-KR"/>
        </w:rPr>
        <w:t xml:space="preserve">delayed or inaccurate synchronization </w:t>
      </w:r>
      <w:r>
        <w:rPr>
          <w:rFonts w:hint="default" w:ascii="Times New Roman" w:hAnsi="Times New Roman" w:eastAsia="굴림"/>
          <w:b w:val="0"/>
          <w:bCs w:val="0"/>
          <w:color w:val="222222"/>
          <w:lang w:val="en-GB" w:eastAsia="ko-KR"/>
        </w:rPr>
        <w:t>for high-mobility users.</w:t>
      </w:r>
    </w:p>
    <w:p w14:paraId="1B963508">
      <w:pPr>
        <w:overflowPunct/>
        <w:autoSpaceDE/>
        <w:autoSpaceDN/>
        <w:adjustRightInd/>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bCs/>
          <w:color w:val="222222"/>
          <w:lang w:val="en-GB" w:eastAsia="ko-KR"/>
        </w:rPr>
        <w:t xml:space="preserve">AI/ML-assisted approaches can introduce mobility-class awareness into LTM prediction and decision processes. </w:t>
      </w:r>
      <w:r>
        <w:rPr>
          <w:rFonts w:hint="default" w:ascii="Times New Roman" w:hAnsi="Times New Roman" w:eastAsia="굴림"/>
          <w:b w:val="0"/>
          <w:bCs w:val="0"/>
          <w:color w:val="222222"/>
          <w:lang w:val="en-GB" w:eastAsia="ko-KR"/>
        </w:rPr>
        <w:t>By incorporating mobility indicators such as Doppler spread, UE velocity, or trajectory pattern, AI/ML models can dynamically adjust:</w:t>
      </w:r>
    </w:p>
    <w:p w14:paraId="289B0504">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Prediction horizon and update frequency for beam and TA values,</w:t>
      </w:r>
    </w:p>
    <w:p w14:paraId="21B87038">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The node responsible for inference (CU-level vs DU-level), and</w:t>
      </w:r>
    </w:p>
    <w:p w14:paraId="0EBF0BE2">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Early synchronization and triggering thresholds.</w:t>
      </w:r>
    </w:p>
    <w:p w14:paraId="3F410543">
      <w:pPr>
        <w:overflowPunct/>
        <w:autoSpaceDE/>
        <w:autoSpaceDN/>
        <w:adjustRightInd/>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This enables adaptive, context-aware LTM operation, optimizing both signaling efficiency and handover reliability across diverse mobility environments.</w:t>
      </w:r>
    </w:p>
    <w:p w14:paraId="28EBFA09">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7</w:t>
      </w:r>
      <w:r>
        <w:rPr>
          <w:rFonts w:hint="default" w:ascii="Times New Roman" w:hAnsi="Times New Roman" w:eastAsia="굴림"/>
          <w:b/>
          <w:bCs/>
          <w:color w:val="222222"/>
          <w:lang w:val="en-GB" w:eastAsia="ko-KR"/>
        </w:rPr>
        <w:t>:</w:t>
      </w:r>
    </w:p>
    <w:p w14:paraId="5AD21DA4">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RAN3 should study mobility-class-aware AI/ML mechanisms for Intra-CU LTM procedures, including their influence on beam prediction, TA estimation, and early synchronization triggering.</w:t>
      </w:r>
    </w:p>
    <w:p w14:paraId="0EB6CC76">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8</w:t>
      </w:r>
      <w:r>
        <w:rPr>
          <w:rFonts w:hint="default" w:ascii="Times New Roman" w:hAnsi="Times New Roman" w:eastAsia="굴림"/>
          <w:b/>
          <w:bCs/>
          <w:color w:val="222222"/>
          <w:lang w:val="en-GB" w:eastAsia="ko-KR"/>
        </w:rPr>
        <w:t>:</w:t>
      </w:r>
    </w:p>
    <w:p w14:paraId="55F4E338">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The study may include:</w:t>
      </w:r>
    </w:p>
    <w:p w14:paraId="59E2AEFD">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Definition of mobility-class indicators (e.g., UE speed category, Doppler frequency, beam coherence time) relevant to AI/ML-based LTM decision-making.</w:t>
      </w:r>
    </w:p>
    <w:p w14:paraId="024FD58B">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Investigation of mobility-dependent inference placement, such as CU-level inference for low-mobility UEs and DU-level inference for high-mobility UEs.</w:t>
      </w:r>
    </w:p>
    <w:p w14:paraId="39DA4D41">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Design of adaptive prediction intervals and validity windows for beam index and TA values based on estimated mobility.</w:t>
      </w:r>
    </w:p>
    <w:p w14:paraId="4546A595">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Evaluation of potential performance improvements in LTM success rate, synchronization accuracy, and signaling reduction compared with mobility-agnostic schemes.</w:t>
      </w:r>
    </w:p>
    <w:p w14:paraId="72AE3C30">
      <w:pPr>
        <w:overflowPunct/>
        <w:autoSpaceDE/>
        <w:autoSpaceDN/>
        <w:adjustRightInd/>
        <w:jc w:val="both"/>
        <w:textAlignment w:val="auto"/>
        <w:rPr>
          <w:rFonts w:hint="default" w:ascii="Times New Roman" w:hAnsi="Times New Roman" w:eastAsia="굴림"/>
          <w:b/>
          <w:bCs/>
          <w:color w:val="222222"/>
          <w:lang w:val="en-GB" w:eastAsia="ko-KR"/>
        </w:rPr>
      </w:pPr>
    </w:p>
    <w:p w14:paraId="4754F790">
      <w:pPr>
        <w:pStyle w:val="2"/>
        <w:numPr>
          <w:ilvl w:val="0"/>
          <w:numId w:val="3"/>
        </w:numPr>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Conclusion</w:t>
      </w:r>
    </w:p>
    <w:p w14:paraId="6F608A0A">
      <w:pPr>
        <w:jc w:val="both"/>
        <w:rPr>
          <w:rFonts w:hint="default" w:ascii="Times New Roman" w:hAnsi="Times New Roman" w:eastAsia="굴림" w:cs="Times New Roman"/>
          <w:lang w:val="en-GB" w:eastAsia="ko-KR"/>
        </w:rPr>
      </w:pPr>
      <w:r>
        <w:rPr>
          <w:rFonts w:hint="default" w:ascii="Times New Roman" w:hAnsi="Times New Roman" w:eastAsia="굴림" w:cs="Times New Roman"/>
          <w:lang w:val="en-GB" w:eastAsia="ko-KR"/>
        </w:rPr>
        <w:t xml:space="preserve">In this contribution, we focused on </w:t>
      </w:r>
      <w:r>
        <w:rPr>
          <w:rFonts w:hint="default" w:ascii="Times New Roman" w:hAnsi="Times New Roman" w:eastAsia="Malgun Gothic" w:cs="Times New Roman"/>
          <w:lang w:eastAsia="ko-KR"/>
        </w:rPr>
        <w:t xml:space="preserve">open issues </w:t>
      </w:r>
      <w:r>
        <w:rPr>
          <w:rFonts w:hint="default" w:eastAsia="Malgun Gothic" w:cs="Times New Roman"/>
          <w:lang w:val="en-IN" w:eastAsia="ko-KR"/>
        </w:rPr>
        <w:t>of AI/ML for Intra-CU LTM</w:t>
      </w:r>
      <w:r>
        <w:rPr>
          <w:rFonts w:hint="default" w:ascii="Times New Roman" w:hAnsi="Times New Roman" w:eastAsia="굴림" w:cs="Times New Roman"/>
          <w:lang w:val="en-GB" w:eastAsia="ko-KR"/>
        </w:rPr>
        <w:t xml:space="preserve"> and provided our view. The following proposals are made:</w:t>
      </w:r>
    </w:p>
    <w:p w14:paraId="1ED7784C">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GB" w:eastAsia="ko-KR"/>
        </w:rPr>
        <w:t>Beam-Level Prediction and Configuration</w:t>
      </w:r>
    </w:p>
    <w:p w14:paraId="7D7E7A30">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Proposal 1: </w:t>
      </w:r>
      <w:r>
        <w:rPr>
          <w:rFonts w:hint="default" w:ascii="Times New Roman" w:hAnsi="Times New Roman" w:eastAsia="굴림"/>
          <w:b/>
          <w:bCs/>
          <w:color w:val="222222"/>
          <w:lang w:val="en-GB" w:eastAsia="ko-KR"/>
        </w:rPr>
        <w:t xml:space="preserve">RAN3 </w:t>
      </w:r>
      <w:r>
        <w:rPr>
          <w:rFonts w:hint="default" w:eastAsia="굴림"/>
          <w:b/>
          <w:bCs/>
          <w:color w:val="222222"/>
          <w:lang w:val="en-IN" w:eastAsia="ko-KR"/>
        </w:rPr>
        <w:t>should</w:t>
      </w:r>
      <w:r>
        <w:rPr>
          <w:rFonts w:hint="default" w:ascii="Times New Roman" w:hAnsi="Times New Roman" w:eastAsia="굴림"/>
          <w:b/>
          <w:bCs/>
          <w:color w:val="222222"/>
          <w:lang w:val="en-GB" w:eastAsia="ko-KR"/>
        </w:rPr>
        <w:t xml:space="preserve"> study AI/ML-assisted beam-level prediction and pre-selection mechanisms to support Intra-CU LTM.</w:t>
      </w:r>
      <w:r>
        <w:rPr>
          <w:rFonts w:hint="default" w:ascii="Times New Roman" w:hAnsi="Times New Roman" w:eastAsia="굴림"/>
          <w:b/>
          <w:bCs/>
          <w:color w:val="222222"/>
          <w:lang w:val="en-GB" w:eastAsia="ko-KR"/>
        </w:rPr>
        <w:br w:type="textWrapping"/>
      </w:r>
    </w:p>
    <w:p w14:paraId="7163146A">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Proposal 2: </w:t>
      </w:r>
      <w:r>
        <w:rPr>
          <w:rFonts w:hint="default" w:ascii="Times New Roman" w:hAnsi="Times New Roman" w:eastAsia="굴림"/>
          <w:b/>
          <w:bCs/>
          <w:color w:val="222222"/>
          <w:lang w:val="en-GB" w:eastAsia="ko-KR"/>
        </w:rPr>
        <w:t>The study may include:</w:t>
      </w:r>
    </w:p>
    <w:p w14:paraId="031D95ED">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Prediction of target beam index and corresponding TCI state before LTM triggering, leveraging UE mobility patterns and radio environment data.</w:t>
      </w:r>
    </w:p>
    <w:p w14:paraId="486577A1">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eastAsia="굴림"/>
          <w:b/>
          <w:bCs/>
          <w:color w:val="222222"/>
          <w:lang w:val="en-IN" w:eastAsia="ko-KR"/>
        </w:rPr>
        <w:t>- Investigation of hierarchical AI/ML model deployment between CU and DU for real-time inference;</w:t>
      </w:r>
    </w:p>
    <w:p w14:paraId="2BFCC03C">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Correlation of cell-beam relations learned from prior LTM or HO events to assist early synchronization and LTM execution.</w:t>
      </w:r>
    </w:p>
    <w:p w14:paraId="7182671A">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Dynamic adaptation of beam-level configurations (e.g., TCI activation, CSI-RS resources) based on predicted UE trajectory and beam history.</w:t>
      </w:r>
    </w:p>
    <w:p w14:paraId="4DE125C9">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Evaluation of performance gains in terms of LTM success rate, latency reduction, and signaling efficiency compared to purely measurement-based schemes.</w:t>
      </w:r>
    </w:p>
    <w:p w14:paraId="653B00D3">
      <w:pPr>
        <w:overflowPunct/>
        <w:autoSpaceDE/>
        <w:autoSpaceDN/>
        <w:adjustRightInd/>
        <w:jc w:val="both"/>
        <w:textAlignment w:val="auto"/>
        <w:rPr>
          <w:rFonts w:hint="default" w:ascii="Times New Roman" w:hAnsi="Times New Roman" w:eastAsia="굴림" w:cs="Times New Roman"/>
          <w:b/>
          <w:bCs/>
          <w:color w:val="222222"/>
          <w:lang w:val="en-GB" w:eastAsia="ko-KR"/>
        </w:rPr>
      </w:pPr>
    </w:p>
    <w:p w14:paraId="39E6F7E6">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GB" w:eastAsia="ko-KR"/>
        </w:rPr>
        <w:t>Early Timing Advance Prediction and Synchronization Optimization</w:t>
      </w:r>
    </w:p>
    <w:p w14:paraId="03FD5DC5">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3</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 xml:space="preserve">RAN3 </w:t>
      </w:r>
      <w:r>
        <w:rPr>
          <w:rFonts w:hint="default" w:eastAsia="굴림"/>
          <w:b/>
          <w:bCs/>
          <w:color w:val="222222"/>
          <w:lang w:val="en-IN" w:eastAsia="ko-KR"/>
        </w:rPr>
        <w:t>should</w:t>
      </w:r>
      <w:r>
        <w:rPr>
          <w:rFonts w:hint="default" w:ascii="Times New Roman" w:hAnsi="Times New Roman" w:eastAsia="굴림"/>
          <w:b/>
          <w:bCs/>
          <w:color w:val="222222"/>
          <w:lang w:val="en-GB" w:eastAsia="ko-KR"/>
        </w:rPr>
        <w:t xml:space="preserve"> study AI/ML-based early TA prediction, where the gNB-CU or gNB-DU predicts the TA value for each candidate cell based on historical timing and mobility data, eliminating the need for explicit early TA acquisition procedures.</w:t>
      </w:r>
    </w:p>
    <w:p w14:paraId="5390C797">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Proposal</w:t>
      </w:r>
      <w:r>
        <w:rPr>
          <w:rFonts w:hint="default" w:eastAsia="굴림"/>
          <w:b/>
          <w:bCs/>
          <w:color w:val="222222"/>
          <w:lang w:val="en-IN" w:eastAsia="ko-KR"/>
        </w:rPr>
        <w:t xml:space="preserve"> 4</w:t>
      </w:r>
      <w:r>
        <w:rPr>
          <w:rFonts w:hint="default" w:ascii="Times New Roman" w:hAnsi="Times New Roman" w:eastAsia="굴림"/>
          <w:b/>
          <w:bCs/>
          <w:color w:val="222222"/>
          <w:lang w:val="en-GB" w:eastAsia="ko-KR"/>
        </w:rPr>
        <w:t xml:space="preserve"> :</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RAN3 to investigate AI/ML mechanisms for optimized triggering of early synchronization (DL and UL) in both L1-based and L3-based LTM cases, aiming to reduce redundant signaling and UE interruption.</w:t>
      </w:r>
    </w:p>
    <w:p w14:paraId="166BC7F2">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5</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The predicted TA value and its validity time should be included as outputs of the AI/ML model, ensuring applicability of the predicted value within the LTM execution window and avoiding outdated TA configurations.</w:t>
      </w:r>
    </w:p>
    <w:p w14:paraId="6BB7EDEB">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6</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RAN3 to evaluate potential reductions in F1 interface signaling and improvements in handover latency and reliability when AI/ML-based TA prediction is adopted, compared to conventional measurement-based TA acquisition.</w:t>
      </w:r>
    </w:p>
    <w:p w14:paraId="49C55327">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cs="Times New Roman"/>
          <w:i/>
          <w:iCs/>
          <w:color w:val="222222"/>
          <w:u w:val="single"/>
          <w:lang w:val="en-GB" w:eastAsia="ko-KR"/>
        </w:rPr>
        <w:t>Mobility Class Aware optimization</w:t>
      </w:r>
    </w:p>
    <w:p w14:paraId="15716075">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7</w:t>
      </w:r>
      <w:r>
        <w:rPr>
          <w:rFonts w:hint="default" w:ascii="Times New Roman" w:hAnsi="Times New Roman" w:eastAsia="굴림"/>
          <w:b/>
          <w:bCs/>
          <w:color w:val="222222"/>
          <w:lang w:val="en-GB" w:eastAsia="ko-KR"/>
        </w:rPr>
        <w:t>:</w:t>
      </w:r>
    </w:p>
    <w:p w14:paraId="30FBB0BA">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RAN3 should study mobility-class-aware AI/ML mechanisms for Intra-CU LTM procedures, including their influence on beam prediction, TA estimation, and early synchronization triggering.</w:t>
      </w:r>
    </w:p>
    <w:p w14:paraId="539F8208">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8</w:t>
      </w:r>
      <w:r>
        <w:rPr>
          <w:rFonts w:hint="default" w:ascii="Times New Roman" w:hAnsi="Times New Roman" w:eastAsia="굴림"/>
          <w:b/>
          <w:bCs/>
          <w:color w:val="222222"/>
          <w:lang w:val="en-GB" w:eastAsia="ko-KR"/>
        </w:rPr>
        <w:t>:</w:t>
      </w:r>
    </w:p>
    <w:p w14:paraId="64BCAC54">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The study may include:</w:t>
      </w:r>
    </w:p>
    <w:p w14:paraId="3B47B205">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Definition of mobility-class indicators (e.g., UE speed category, Doppler frequency, beam coherence time) relevant to AI/ML-based LTM decision-making.</w:t>
      </w:r>
    </w:p>
    <w:p w14:paraId="65E7DC63">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Investigation of mobility-dependent inference placement, such as CU-level inference for low-mobility UEs and DU-level inference for high-mobility UEs.</w:t>
      </w:r>
    </w:p>
    <w:p w14:paraId="231E01B8">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Design of adaptive prediction intervals and validity windows for beam index and TA values based on estimated mobility.</w:t>
      </w:r>
    </w:p>
    <w:p w14:paraId="1D7FEA4A">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eastAsia="굴림"/>
          <w:b/>
          <w:bCs/>
          <w:color w:val="222222"/>
          <w:lang w:val="en-IN" w:eastAsia="ko-KR"/>
        </w:rPr>
        <w:t xml:space="preserve">- </w:t>
      </w:r>
      <w:r>
        <w:rPr>
          <w:rFonts w:hint="default" w:ascii="Times New Roman" w:hAnsi="Times New Roman" w:eastAsia="굴림"/>
          <w:b/>
          <w:bCs/>
          <w:color w:val="222222"/>
          <w:lang w:val="en-GB" w:eastAsia="ko-KR"/>
        </w:rPr>
        <w:t>Evaluation of potential performance improvements in LTM success rate, synchronization accuracy, and signaling reduction compared with mobility-agnostic schemes.</w:t>
      </w:r>
    </w:p>
    <w:p w14:paraId="1DE00F93">
      <w:pPr>
        <w:pStyle w:val="2"/>
        <w:numPr>
          <w:ilvl w:val="0"/>
          <w:numId w:val="3"/>
        </w:numPr>
        <w:pBdr>
          <w:top w:val="single" w:color="auto" w:sz="12" w:space="0"/>
        </w:pBdr>
        <w:rPr>
          <w:rFonts w:hint="default" w:ascii="Times New Roman" w:hAnsi="Times New Roman" w:cs="Times New Roman"/>
        </w:rPr>
      </w:pPr>
      <w:r>
        <w:rPr>
          <w:rFonts w:hint="default" w:ascii="Times New Roman" w:hAnsi="Times New Roman" w:cs="Times New Roman"/>
        </w:rPr>
        <w:t>References</w:t>
      </w:r>
    </w:p>
    <w:p w14:paraId="5C0B9233">
      <w:pPr>
        <w:numPr>
          <w:ilvl w:val="0"/>
          <w:numId w:val="4"/>
        </w:numPr>
        <w:rPr>
          <w:rFonts w:hint="default" w:ascii="Times New Roman" w:hAnsi="Times New Roman" w:eastAsia="Malgun Gothic" w:cs="Times New Roman"/>
          <w:lang w:eastAsia="ko-KR"/>
        </w:rPr>
      </w:pPr>
      <w:r>
        <w:rPr>
          <w:rFonts w:hint="default" w:ascii="Times New Roman" w:hAnsi="Times New Roman" w:eastAsia="굴림" w:cs="Times New Roman"/>
          <w:color w:val="222222"/>
          <w:lang w:val="en-GB" w:eastAsia="ko-KR"/>
        </w:rPr>
        <w:t>R</w:t>
      </w:r>
      <w:r>
        <w:rPr>
          <w:rFonts w:hint="default" w:eastAsia="굴림" w:cs="Times New Roman"/>
          <w:color w:val="222222"/>
          <w:lang w:val="en-IN" w:eastAsia="ko-KR"/>
        </w:rPr>
        <w:t>3-256501, RAN3 Chair Agenda EOM, RAN3#129bis, Oct 2025.</w:t>
      </w:r>
    </w:p>
    <w:p w14:paraId="0754380D">
      <w:pPr>
        <w:numPr>
          <w:ilvl w:val="0"/>
          <w:numId w:val="4"/>
        </w:numPr>
        <w:rPr>
          <w:rFonts w:hint="default" w:ascii="Times New Roman" w:hAnsi="Times New Roman" w:eastAsia="Malgun Gothic" w:cs="Times New Roman"/>
          <w:lang w:eastAsia="ko-KR"/>
        </w:rPr>
      </w:pPr>
      <w:r>
        <w:rPr>
          <w:rFonts w:hint="default" w:eastAsia="Malgun Gothic" w:cs="Times New Roman"/>
          <w:lang w:val="en-IN" w:eastAsia="ko-KR"/>
        </w:rPr>
        <w:t>TS 38.300, NR and NG-RAN Overall Description; Stage 2, Rel 18 V 18.6.0, 2025.</w:t>
      </w:r>
    </w:p>
    <w:p w14:paraId="3A11B10C">
      <w:pPr>
        <w:numPr>
          <w:numId w:val="0"/>
        </w:numPr>
        <w:ind w:leftChars="0"/>
        <w:rPr>
          <w:rFonts w:hint="default" w:ascii="Times New Roman" w:hAnsi="Times New Roman" w:eastAsia="Malgun Gothic" w:cs="Times New Roman"/>
          <w:lang w:eastAsia="ko-KR"/>
        </w:rPr>
      </w:pPr>
      <w:bookmarkStart w:id="0" w:name="_GoBack"/>
      <w:bookmarkEnd w:id="0"/>
    </w:p>
    <w:sectPr>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SimHei">
    <w:altName w:val="SimSun"/>
    <w:panose1 w:val="02010600030101010101"/>
    <w:charset w:val="86"/>
    <w:family w:val="modern"/>
    <w:pitch w:val="default"/>
    <w:sig w:usb0="00000000" w:usb1="00000000" w:usb2="00000016" w:usb3="00000000" w:csb0="00040001" w:csb1="00000000"/>
  </w:font>
  <w:font w:name="Malgun Gothic">
    <w:panose1 w:val="020B0503020000020004"/>
    <w:charset w:val="81"/>
    <w:family w:val="modern"/>
    <w:pitch w:val="default"/>
    <w:sig w:usb0="9000002F" w:usb1="29D77CFB" w:usb2="00000012" w:usb3="00000000" w:csb0="00080001" w:csb1="00000000"/>
  </w:font>
  <w:font w:name="돋움">
    <w:altName w:val="Malgun Gothic"/>
    <w:panose1 w:val="020B0600000101010101"/>
    <w:charset w:val="81"/>
    <w:family w:val="moder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DengXian">
    <w:altName w:val="SimSun"/>
    <w:panose1 w:val="02010600030101010101"/>
    <w:charset w:val="86"/>
    <w:family w:val="auto"/>
    <w:pitch w:val="default"/>
    <w:sig w:usb0="00000000" w:usb1="00000000" w:usb2="00000016" w:usb3="00000000" w:csb0="0004000F" w:csb1="00000000"/>
  </w:font>
  <w:font w:name="等线">
    <w:altName w:val="Microsoft YaHei"/>
    <w:panose1 w:val="02010600030101010101"/>
    <w:charset w:val="86"/>
    <w:family w:val="auto"/>
    <w:pitch w:val="default"/>
    <w:sig w:usb0="00000000" w:usb1="00000000" w:usb2="00000016" w:usb3="00000000" w:csb0="0004000F" w:csb1="00000000"/>
  </w:font>
  <w:font w:name="굴림">
    <w:altName w:val="Malgun Gothic"/>
    <w:panose1 w:val="020B0600000101010101"/>
    <w:charset w:val="81"/>
    <w:family w:val="moder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6F98584"/>
    <w:multiLevelType w:val="singleLevel"/>
    <w:tmpl w:val="46F98584"/>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8C32635"/>
    <w:multiLevelType w:val="multilevel"/>
    <w:tmpl w:val="78C32635"/>
    <w:lvl w:ilvl="0" w:tentative="0">
      <w:start w:val="3"/>
      <w:numFmt w:val="decimal"/>
      <w:lvlText w:val="%1."/>
      <w:lvlJc w:val="left"/>
      <w:pPr>
        <w:tabs>
          <w:tab w:val="left" w:pos="360"/>
        </w:tabs>
        <w:ind w:left="360" w:hanging="360"/>
      </w:pPr>
      <w:rPr>
        <w:rFonts w:hint="default"/>
        <w:lang w:val="en-GB"/>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847"/>
    <w:rsid w:val="00033945"/>
    <w:rsid w:val="00033B72"/>
    <w:rsid w:val="00033DC5"/>
    <w:rsid w:val="000342BE"/>
    <w:rsid w:val="00034531"/>
    <w:rsid w:val="000346AB"/>
    <w:rsid w:val="00035043"/>
    <w:rsid w:val="00035437"/>
    <w:rsid w:val="000354C9"/>
    <w:rsid w:val="00035551"/>
    <w:rsid w:val="00035F02"/>
    <w:rsid w:val="00036ACB"/>
    <w:rsid w:val="00036CF9"/>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7B9"/>
    <w:rsid w:val="00067B5A"/>
    <w:rsid w:val="00067B68"/>
    <w:rsid w:val="00067BCE"/>
    <w:rsid w:val="00067FCD"/>
    <w:rsid w:val="00070125"/>
    <w:rsid w:val="000706FF"/>
    <w:rsid w:val="00071007"/>
    <w:rsid w:val="00071AFC"/>
    <w:rsid w:val="00071B51"/>
    <w:rsid w:val="00071FFA"/>
    <w:rsid w:val="00072CAF"/>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EF8"/>
    <w:rsid w:val="000A1FB5"/>
    <w:rsid w:val="000A2075"/>
    <w:rsid w:val="000A20B1"/>
    <w:rsid w:val="000A22EA"/>
    <w:rsid w:val="000A2502"/>
    <w:rsid w:val="000A29C2"/>
    <w:rsid w:val="000A29F3"/>
    <w:rsid w:val="000A3F12"/>
    <w:rsid w:val="000A41BB"/>
    <w:rsid w:val="000A46FD"/>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654"/>
    <w:rsid w:val="000C0760"/>
    <w:rsid w:val="000C0E19"/>
    <w:rsid w:val="000C1600"/>
    <w:rsid w:val="000C1623"/>
    <w:rsid w:val="000C1D53"/>
    <w:rsid w:val="000C2474"/>
    <w:rsid w:val="000C277A"/>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49DB"/>
    <w:rsid w:val="000D4EBD"/>
    <w:rsid w:val="000D4F3F"/>
    <w:rsid w:val="000D76AB"/>
    <w:rsid w:val="000E0486"/>
    <w:rsid w:val="000E0822"/>
    <w:rsid w:val="000E0C5C"/>
    <w:rsid w:val="000E1865"/>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6500"/>
    <w:rsid w:val="000E6C49"/>
    <w:rsid w:val="000E6C71"/>
    <w:rsid w:val="000E750A"/>
    <w:rsid w:val="000E7611"/>
    <w:rsid w:val="000E7E46"/>
    <w:rsid w:val="000E7F6F"/>
    <w:rsid w:val="000F031B"/>
    <w:rsid w:val="000F0CEB"/>
    <w:rsid w:val="000F1678"/>
    <w:rsid w:val="000F1E26"/>
    <w:rsid w:val="000F2627"/>
    <w:rsid w:val="000F2802"/>
    <w:rsid w:val="000F2D15"/>
    <w:rsid w:val="000F3126"/>
    <w:rsid w:val="000F3616"/>
    <w:rsid w:val="000F4001"/>
    <w:rsid w:val="000F4076"/>
    <w:rsid w:val="000F416D"/>
    <w:rsid w:val="000F511C"/>
    <w:rsid w:val="000F598D"/>
    <w:rsid w:val="000F5E82"/>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215D"/>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2856"/>
    <w:rsid w:val="00113070"/>
    <w:rsid w:val="0011327C"/>
    <w:rsid w:val="00113356"/>
    <w:rsid w:val="00113BE3"/>
    <w:rsid w:val="00113DDD"/>
    <w:rsid w:val="0011465D"/>
    <w:rsid w:val="00114B94"/>
    <w:rsid w:val="00114BDB"/>
    <w:rsid w:val="001157BE"/>
    <w:rsid w:val="0011594C"/>
    <w:rsid w:val="001160AA"/>
    <w:rsid w:val="001167DB"/>
    <w:rsid w:val="00116853"/>
    <w:rsid w:val="00116A72"/>
    <w:rsid w:val="00116FC6"/>
    <w:rsid w:val="00117391"/>
    <w:rsid w:val="001174F7"/>
    <w:rsid w:val="00117FDB"/>
    <w:rsid w:val="001209D3"/>
    <w:rsid w:val="00120EBB"/>
    <w:rsid w:val="001216CC"/>
    <w:rsid w:val="001216E1"/>
    <w:rsid w:val="00122519"/>
    <w:rsid w:val="00122B8B"/>
    <w:rsid w:val="00122EC7"/>
    <w:rsid w:val="00123143"/>
    <w:rsid w:val="001232DD"/>
    <w:rsid w:val="00123894"/>
    <w:rsid w:val="00123D6B"/>
    <w:rsid w:val="0012404C"/>
    <w:rsid w:val="0012451F"/>
    <w:rsid w:val="00124842"/>
    <w:rsid w:val="00124868"/>
    <w:rsid w:val="00124F0A"/>
    <w:rsid w:val="00125A37"/>
    <w:rsid w:val="00126BF1"/>
    <w:rsid w:val="001275F5"/>
    <w:rsid w:val="00130792"/>
    <w:rsid w:val="00130AE4"/>
    <w:rsid w:val="00130CD1"/>
    <w:rsid w:val="001313C2"/>
    <w:rsid w:val="00131481"/>
    <w:rsid w:val="0013165F"/>
    <w:rsid w:val="001319A1"/>
    <w:rsid w:val="001319E9"/>
    <w:rsid w:val="00132476"/>
    <w:rsid w:val="00132E6A"/>
    <w:rsid w:val="00133281"/>
    <w:rsid w:val="00133529"/>
    <w:rsid w:val="00133606"/>
    <w:rsid w:val="001337BC"/>
    <w:rsid w:val="00133BD4"/>
    <w:rsid w:val="00134AA3"/>
    <w:rsid w:val="00134EEF"/>
    <w:rsid w:val="00135950"/>
    <w:rsid w:val="00135A8C"/>
    <w:rsid w:val="00135E58"/>
    <w:rsid w:val="00135F1E"/>
    <w:rsid w:val="0013610B"/>
    <w:rsid w:val="00136C6E"/>
    <w:rsid w:val="0013756B"/>
    <w:rsid w:val="00137EBC"/>
    <w:rsid w:val="00140132"/>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B14"/>
    <w:rsid w:val="00163B99"/>
    <w:rsid w:val="00163DF6"/>
    <w:rsid w:val="0016442E"/>
    <w:rsid w:val="00164542"/>
    <w:rsid w:val="00164FF8"/>
    <w:rsid w:val="0016549A"/>
    <w:rsid w:val="00165757"/>
    <w:rsid w:val="00166019"/>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CCD"/>
    <w:rsid w:val="00177129"/>
    <w:rsid w:val="0017741A"/>
    <w:rsid w:val="00177428"/>
    <w:rsid w:val="00177C38"/>
    <w:rsid w:val="00180507"/>
    <w:rsid w:val="001806F0"/>
    <w:rsid w:val="0018090D"/>
    <w:rsid w:val="0018169A"/>
    <w:rsid w:val="00181888"/>
    <w:rsid w:val="001819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98E"/>
    <w:rsid w:val="001903DC"/>
    <w:rsid w:val="00190906"/>
    <w:rsid w:val="00190F83"/>
    <w:rsid w:val="00191028"/>
    <w:rsid w:val="0019133B"/>
    <w:rsid w:val="00191864"/>
    <w:rsid w:val="00192408"/>
    <w:rsid w:val="00192500"/>
    <w:rsid w:val="0019250C"/>
    <w:rsid w:val="00192555"/>
    <w:rsid w:val="00192CCB"/>
    <w:rsid w:val="00192F5B"/>
    <w:rsid w:val="00193699"/>
    <w:rsid w:val="00193E12"/>
    <w:rsid w:val="00194700"/>
    <w:rsid w:val="0019474E"/>
    <w:rsid w:val="00194D8F"/>
    <w:rsid w:val="001950E3"/>
    <w:rsid w:val="00195185"/>
    <w:rsid w:val="001952E1"/>
    <w:rsid w:val="00195442"/>
    <w:rsid w:val="00195527"/>
    <w:rsid w:val="0019597D"/>
    <w:rsid w:val="0019597E"/>
    <w:rsid w:val="00195D58"/>
    <w:rsid w:val="0019716B"/>
    <w:rsid w:val="0019725A"/>
    <w:rsid w:val="00197931"/>
    <w:rsid w:val="00197FBA"/>
    <w:rsid w:val="001A0D5E"/>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532D"/>
    <w:rsid w:val="001F6025"/>
    <w:rsid w:val="001F6CB5"/>
    <w:rsid w:val="001F72B2"/>
    <w:rsid w:val="001F76D5"/>
    <w:rsid w:val="002004AE"/>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6792"/>
    <w:rsid w:val="00226942"/>
    <w:rsid w:val="00226A8F"/>
    <w:rsid w:val="00226AFE"/>
    <w:rsid w:val="00226D7F"/>
    <w:rsid w:val="00230635"/>
    <w:rsid w:val="00230BF5"/>
    <w:rsid w:val="00230C28"/>
    <w:rsid w:val="00231096"/>
    <w:rsid w:val="00231B97"/>
    <w:rsid w:val="00232209"/>
    <w:rsid w:val="00232723"/>
    <w:rsid w:val="00232BF1"/>
    <w:rsid w:val="00232E21"/>
    <w:rsid w:val="00233830"/>
    <w:rsid w:val="002338DC"/>
    <w:rsid w:val="00233AED"/>
    <w:rsid w:val="002340E2"/>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426"/>
    <w:rsid w:val="002415D5"/>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63A0"/>
    <w:rsid w:val="002865E3"/>
    <w:rsid w:val="00286F64"/>
    <w:rsid w:val="00286F88"/>
    <w:rsid w:val="002877BF"/>
    <w:rsid w:val="00287DBE"/>
    <w:rsid w:val="002902FE"/>
    <w:rsid w:val="00290A24"/>
    <w:rsid w:val="00290C37"/>
    <w:rsid w:val="00291166"/>
    <w:rsid w:val="0029132A"/>
    <w:rsid w:val="002916C9"/>
    <w:rsid w:val="002918FF"/>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5585"/>
    <w:rsid w:val="002B5B95"/>
    <w:rsid w:val="002B69BE"/>
    <w:rsid w:val="002B7174"/>
    <w:rsid w:val="002B7270"/>
    <w:rsid w:val="002B7A14"/>
    <w:rsid w:val="002B7C57"/>
    <w:rsid w:val="002C05EE"/>
    <w:rsid w:val="002C091C"/>
    <w:rsid w:val="002C1095"/>
    <w:rsid w:val="002C1711"/>
    <w:rsid w:val="002C2A66"/>
    <w:rsid w:val="002C2B60"/>
    <w:rsid w:val="002C3088"/>
    <w:rsid w:val="002C30DB"/>
    <w:rsid w:val="002C3510"/>
    <w:rsid w:val="002C3D7D"/>
    <w:rsid w:val="002C4830"/>
    <w:rsid w:val="002C49AB"/>
    <w:rsid w:val="002C5197"/>
    <w:rsid w:val="002C5294"/>
    <w:rsid w:val="002C5E32"/>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52B9"/>
    <w:rsid w:val="002E559D"/>
    <w:rsid w:val="002E65AB"/>
    <w:rsid w:val="002E663F"/>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610A"/>
    <w:rsid w:val="002F616B"/>
    <w:rsid w:val="002F68AE"/>
    <w:rsid w:val="002F68B3"/>
    <w:rsid w:val="002F6EC7"/>
    <w:rsid w:val="002F72EB"/>
    <w:rsid w:val="002F7758"/>
    <w:rsid w:val="002F7BB1"/>
    <w:rsid w:val="00300796"/>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73B6"/>
    <w:rsid w:val="00317A23"/>
    <w:rsid w:val="00317D83"/>
    <w:rsid w:val="003203E5"/>
    <w:rsid w:val="003203FC"/>
    <w:rsid w:val="00320B1A"/>
    <w:rsid w:val="00321634"/>
    <w:rsid w:val="00321E59"/>
    <w:rsid w:val="0032207A"/>
    <w:rsid w:val="00322423"/>
    <w:rsid w:val="003224E1"/>
    <w:rsid w:val="00322730"/>
    <w:rsid w:val="0032290A"/>
    <w:rsid w:val="00322AB4"/>
    <w:rsid w:val="0032413A"/>
    <w:rsid w:val="00324BD8"/>
    <w:rsid w:val="00324E01"/>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66D"/>
    <w:rsid w:val="00395B5E"/>
    <w:rsid w:val="00395E62"/>
    <w:rsid w:val="0039678C"/>
    <w:rsid w:val="0039679C"/>
    <w:rsid w:val="003967BD"/>
    <w:rsid w:val="003968FF"/>
    <w:rsid w:val="0039723E"/>
    <w:rsid w:val="003974AB"/>
    <w:rsid w:val="00397C16"/>
    <w:rsid w:val="00397D51"/>
    <w:rsid w:val="00397E4C"/>
    <w:rsid w:val="003A07FF"/>
    <w:rsid w:val="003A08CB"/>
    <w:rsid w:val="003A094D"/>
    <w:rsid w:val="003A0BF6"/>
    <w:rsid w:val="003A160A"/>
    <w:rsid w:val="003A20E5"/>
    <w:rsid w:val="003A22AB"/>
    <w:rsid w:val="003A249D"/>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50B7"/>
    <w:rsid w:val="003F58F1"/>
    <w:rsid w:val="003F6059"/>
    <w:rsid w:val="003F6F2F"/>
    <w:rsid w:val="003F7399"/>
    <w:rsid w:val="003F7AEA"/>
    <w:rsid w:val="00400BBA"/>
    <w:rsid w:val="00400D2D"/>
    <w:rsid w:val="004025BC"/>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3056"/>
    <w:rsid w:val="00423C76"/>
    <w:rsid w:val="00423D5B"/>
    <w:rsid w:val="00423EF0"/>
    <w:rsid w:val="00424092"/>
    <w:rsid w:val="004246DA"/>
    <w:rsid w:val="004248E3"/>
    <w:rsid w:val="00425DAC"/>
    <w:rsid w:val="00426DA5"/>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D00"/>
    <w:rsid w:val="00437299"/>
    <w:rsid w:val="004373D5"/>
    <w:rsid w:val="004379CE"/>
    <w:rsid w:val="00437B83"/>
    <w:rsid w:val="004404E9"/>
    <w:rsid w:val="0044085B"/>
    <w:rsid w:val="00440A15"/>
    <w:rsid w:val="00441424"/>
    <w:rsid w:val="00441E66"/>
    <w:rsid w:val="004421D0"/>
    <w:rsid w:val="00442984"/>
    <w:rsid w:val="00442F66"/>
    <w:rsid w:val="00443C3F"/>
    <w:rsid w:val="00444433"/>
    <w:rsid w:val="00444CE6"/>
    <w:rsid w:val="00444EF4"/>
    <w:rsid w:val="004452E8"/>
    <w:rsid w:val="004456ED"/>
    <w:rsid w:val="00445B04"/>
    <w:rsid w:val="00445C19"/>
    <w:rsid w:val="00445DEF"/>
    <w:rsid w:val="004465B4"/>
    <w:rsid w:val="00446981"/>
    <w:rsid w:val="0044727A"/>
    <w:rsid w:val="004477A2"/>
    <w:rsid w:val="00447E25"/>
    <w:rsid w:val="0045016C"/>
    <w:rsid w:val="00450283"/>
    <w:rsid w:val="0045052C"/>
    <w:rsid w:val="00450769"/>
    <w:rsid w:val="00450793"/>
    <w:rsid w:val="00450804"/>
    <w:rsid w:val="00450D59"/>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EC"/>
    <w:rsid w:val="004652B5"/>
    <w:rsid w:val="00465A39"/>
    <w:rsid w:val="00465B42"/>
    <w:rsid w:val="00466A90"/>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C6C"/>
    <w:rsid w:val="00482045"/>
    <w:rsid w:val="00482512"/>
    <w:rsid w:val="00482949"/>
    <w:rsid w:val="00482B79"/>
    <w:rsid w:val="00483F0A"/>
    <w:rsid w:val="0048432E"/>
    <w:rsid w:val="00485E44"/>
    <w:rsid w:val="00485E4B"/>
    <w:rsid w:val="004860CA"/>
    <w:rsid w:val="004862D3"/>
    <w:rsid w:val="0048682C"/>
    <w:rsid w:val="00487371"/>
    <w:rsid w:val="00490750"/>
    <w:rsid w:val="00490C04"/>
    <w:rsid w:val="00491318"/>
    <w:rsid w:val="0049145E"/>
    <w:rsid w:val="004914A9"/>
    <w:rsid w:val="004919A5"/>
    <w:rsid w:val="00491BB1"/>
    <w:rsid w:val="00491F6D"/>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15F"/>
    <w:rsid w:val="004A2213"/>
    <w:rsid w:val="004A434A"/>
    <w:rsid w:val="004A445E"/>
    <w:rsid w:val="004A4563"/>
    <w:rsid w:val="004A564C"/>
    <w:rsid w:val="004A5A42"/>
    <w:rsid w:val="004A608E"/>
    <w:rsid w:val="004A6A6F"/>
    <w:rsid w:val="004A6AB7"/>
    <w:rsid w:val="004A7880"/>
    <w:rsid w:val="004A78FE"/>
    <w:rsid w:val="004A7D10"/>
    <w:rsid w:val="004A7FFE"/>
    <w:rsid w:val="004B1CF2"/>
    <w:rsid w:val="004B230B"/>
    <w:rsid w:val="004B29B8"/>
    <w:rsid w:val="004B2CA3"/>
    <w:rsid w:val="004B2F45"/>
    <w:rsid w:val="004B329D"/>
    <w:rsid w:val="004B34C9"/>
    <w:rsid w:val="004B3677"/>
    <w:rsid w:val="004B36D9"/>
    <w:rsid w:val="004B3B68"/>
    <w:rsid w:val="004B4AC3"/>
    <w:rsid w:val="004B4C1C"/>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FFF"/>
    <w:rsid w:val="004E74F2"/>
    <w:rsid w:val="004E779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61B"/>
    <w:rsid w:val="00505A30"/>
    <w:rsid w:val="00505B6C"/>
    <w:rsid w:val="00506655"/>
    <w:rsid w:val="00507487"/>
    <w:rsid w:val="00507982"/>
    <w:rsid w:val="00507D4E"/>
    <w:rsid w:val="0051008A"/>
    <w:rsid w:val="005106D6"/>
    <w:rsid w:val="005108E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5150"/>
    <w:rsid w:val="005453D4"/>
    <w:rsid w:val="00545BCA"/>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7077F"/>
    <w:rsid w:val="00570930"/>
    <w:rsid w:val="00570A4E"/>
    <w:rsid w:val="00571014"/>
    <w:rsid w:val="0057152B"/>
    <w:rsid w:val="00571778"/>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2667"/>
    <w:rsid w:val="006227F6"/>
    <w:rsid w:val="00622B00"/>
    <w:rsid w:val="0062334E"/>
    <w:rsid w:val="0062362B"/>
    <w:rsid w:val="006238ED"/>
    <w:rsid w:val="0062412F"/>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3456"/>
    <w:rsid w:val="0064477E"/>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7E6"/>
    <w:rsid w:val="00653DCD"/>
    <w:rsid w:val="00653EF0"/>
    <w:rsid w:val="00653FFD"/>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E18"/>
    <w:rsid w:val="006643A0"/>
    <w:rsid w:val="006648CD"/>
    <w:rsid w:val="00664C89"/>
    <w:rsid w:val="006652D3"/>
    <w:rsid w:val="006658C4"/>
    <w:rsid w:val="00665970"/>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CFB"/>
    <w:rsid w:val="006D1A19"/>
    <w:rsid w:val="006D1C8B"/>
    <w:rsid w:val="006D1D0F"/>
    <w:rsid w:val="006D2255"/>
    <w:rsid w:val="006D24E2"/>
    <w:rsid w:val="006D27A0"/>
    <w:rsid w:val="006D287C"/>
    <w:rsid w:val="006D2C0C"/>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7C11"/>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87D"/>
    <w:rsid w:val="0075734C"/>
    <w:rsid w:val="00757560"/>
    <w:rsid w:val="007576A9"/>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752"/>
    <w:rsid w:val="00763861"/>
    <w:rsid w:val="00763C43"/>
    <w:rsid w:val="00763DB9"/>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2C6"/>
    <w:rsid w:val="007915C2"/>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553"/>
    <w:rsid w:val="007A1C06"/>
    <w:rsid w:val="007A1D0A"/>
    <w:rsid w:val="007A276D"/>
    <w:rsid w:val="007A2E5B"/>
    <w:rsid w:val="007A341F"/>
    <w:rsid w:val="007A3490"/>
    <w:rsid w:val="007A3550"/>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261"/>
    <w:rsid w:val="007E4A91"/>
    <w:rsid w:val="007E4EB3"/>
    <w:rsid w:val="007E592B"/>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5C8"/>
    <w:rsid w:val="00800B27"/>
    <w:rsid w:val="00800CFE"/>
    <w:rsid w:val="008012DD"/>
    <w:rsid w:val="008017E9"/>
    <w:rsid w:val="00801D7F"/>
    <w:rsid w:val="00802461"/>
    <w:rsid w:val="00802C16"/>
    <w:rsid w:val="00802F13"/>
    <w:rsid w:val="008031C3"/>
    <w:rsid w:val="00803901"/>
    <w:rsid w:val="00803B9A"/>
    <w:rsid w:val="0080414C"/>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6133"/>
    <w:rsid w:val="00816388"/>
    <w:rsid w:val="008167B4"/>
    <w:rsid w:val="00816910"/>
    <w:rsid w:val="0081743A"/>
    <w:rsid w:val="00817AF8"/>
    <w:rsid w:val="00820174"/>
    <w:rsid w:val="0082049A"/>
    <w:rsid w:val="00820C6B"/>
    <w:rsid w:val="00821FE1"/>
    <w:rsid w:val="008222E2"/>
    <w:rsid w:val="008223A0"/>
    <w:rsid w:val="00822686"/>
    <w:rsid w:val="00822A1E"/>
    <w:rsid w:val="00822A72"/>
    <w:rsid w:val="00822D9D"/>
    <w:rsid w:val="00823AD4"/>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795"/>
    <w:rsid w:val="008532C4"/>
    <w:rsid w:val="008547EC"/>
    <w:rsid w:val="00854A4B"/>
    <w:rsid w:val="00854E06"/>
    <w:rsid w:val="00854FA7"/>
    <w:rsid w:val="0085516F"/>
    <w:rsid w:val="00855533"/>
    <w:rsid w:val="00856336"/>
    <w:rsid w:val="00856799"/>
    <w:rsid w:val="00856840"/>
    <w:rsid w:val="008569BA"/>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A60"/>
    <w:rsid w:val="00865F0D"/>
    <w:rsid w:val="00865F41"/>
    <w:rsid w:val="00866AEB"/>
    <w:rsid w:val="00866B75"/>
    <w:rsid w:val="00866BE1"/>
    <w:rsid w:val="0086738A"/>
    <w:rsid w:val="008678B5"/>
    <w:rsid w:val="00867C08"/>
    <w:rsid w:val="00867C1C"/>
    <w:rsid w:val="0087023D"/>
    <w:rsid w:val="00870D12"/>
    <w:rsid w:val="00871224"/>
    <w:rsid w:val="00871266"/>
    <w:rsid w:val="008714C8"/>
    <w:rsid w:val="00871F3E"/>
    <w:rsid w:val="008722A1"/>
    <w:rsid w:val="0087238D"/>
    <w:rsid w:val="0087252D"/>
    <w:rsid w:val="00873180"/>
    <w:rsid w:val="008732AC"/>
    <w:rsid w:val="00873392"/>
    <w:rsid w:val="00873BEF"/>
    <w:rsid w:val="00873EA2"/>
    <w:rsid w:val="00874040"/>
    <w:rsid w:val="00874183"/>
    <w:rsid w:val="0087463C"/>
    <w:rsid w:val="008748DB"/>
    <w:rsid w:val="00874BA5"/>
    <w:rsid w:val="00874C58"/>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6E4"/>
    <w:rsid w:val="008D28DA"/>
    <w:rsid w:val="008D2A3B"/>
    <w:rsid w:val="008D2ECA"/>
    <w:rsid w:val="008D30A2"/>
    <w:rsid w:val="008D320E"/>
    <w:rsid w:val="008D3F0B"/>
    <w:rsid w:val="008D49A7"/>
    <w:rsid w:val="008D4F73"/>
    <w:rsid w:val="008D5161"/>
    <w:rsid w:val="008D5245"/>
    <w:rsid w:val="008D5935"/>
    <w:rsid w:val="008D5B29"/>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A37"/>
    <w:rsid w:val="00900BF6"/>
    <w:rsid w:val="00900E1C"/>
    <w:rsid w:val="00900EDE"/>
    <w:rsid w:val="0090122B"/>
    <w:rsid w:val="00901363"/>
    <w:rsid w:val="009013E3"/>
    <w:rsid w:val="00901DF3"/>
    <w:rsid w:val="00902386"/>
    <w:rsid w:val="0090242D"/>
    <w:rsid w:val="0090243F"/>
    <w:rsid w:val="00902984"/>
    <w:rsid w:val="009029D7"/>
    <w:rsid w:val="00903081"/>
    <w:rsid w:val="0090359F"/>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7487"/>
    <w:rsid w:val="009177E8"/>
    <w:rsid w:val="0091785E"/>
    <w:rsid w:val="00920470"/>
    <w:rsid w:val="0092063F"/>
    <w:rsid w:val="00920805"/>
    <w:rsid w:val="00920EC9"/>
    <w:rsid w:val="009216E2"/>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63B"/>
    <w:rsid w:val="0096677D"/>
    <w:rsid w:val="00966DF3"/>
    <w:rsid w:val="00966F50"/>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727A"/>
    <w:rsid w:val="00977FE4"/>
    <w:rsid w:val="009809AF"/>
    <w:rsid w:val="00980E71"/>
    <w:rsid w:val="0098128E"/>
    <w:rsid w:val="009819B7"/>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476"/>
    <w:rsid w:val="0098768E"/>
    <w:rsid w:val="00987921"/>
    <w:rsid w:val="00987B75"/>
    <w:rsid w:val="00987D61"/>
    <w:rsid w:val="00987FF7"/>
    <w:rsid w:val="00990246"/>
    <w:rsid w:val="00990325"/>
    <w:rsid w:val="00990860"/>
    <w:rsid w:val="009909B4"/>
    <w:rsid w:val="00990D82"/>
    <w:rsid w:val="0099119D"/>
    <w:rsid w:val="00991400"/>
    <w:rsid w:val="009916FB"/>
    <w:rsid w:val="00991FEF"/>
    <w:rsid w:val="00992063"/>
    <w:rsid w:val="00992260"/>
    <w:rsid w:val="00992E4D"/>
    <w:rsid w:val="009934E5"/>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72FC"/>
    <w:rsid w:val="009A7CCA"/>
    <w:rsid w:val="009B06A1"/>
    <w:rsid w:val="009B08C1"/>
    <w:rsid w:val="009B0CD9"/>
    <w:rsid w:val="009B1265"/>
    <w:rsid w:val="009B1422"/>
    <w:rsid w:val="009B232F"/>
    <w:rsid w:val="009B23B2"/>
    <w:rsid w:val="009B2961"/>
    <w:rsid w:val="009B3198"/>
    <w:rsid w:val="009B42EE"/>
    <w:rsid w:val="009B488A"/>
    <w:rsid w:val="009B4BF9"/>
    <w:rsid w:val="009B541C"/>
    <w:rsid w:val="009B57A5"/>
    <w:rsid w:val="009B5D6A"/>
    <w:rsid w:val="009B5FA1"/>
    <w:rsid w:val="009B6214"/>
    <w:rsid w:val="009B692D"/>
    <w:rsid w:val="009B69F6"/>
    <w:rsid w:val="009B7702"/>
    <w:rsid w:val="009B78F6"/>
    <w:rsid w:val="009B7F7E"/>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AE2"/>
    <w:rsid w:val="00A44F44"/>
    <w:rsid w:val="00A4513F"/>
    <w:rsid w:val="00A456B4"/>
    <w:rsid w:val="00A4592C"/>
    <w:rsid w:val="00A45942"/>
    <w:rsid w:val="00A46465"/>
    <w:rsid w:val="00A507A8"/>
    <w:rsid w:val="00A508AA"/>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602CC"/>
    <w:rsid w:val="00A606CF"/>
    <w:rsid w:val="00A60BE5"/>
    <w:rsid w:val="00A60DAE"/>
    <w:rsid w:val="00A6117B"/>
    <w:rsid w:val="00A6117F"/>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1229"/>
    <w:rsid w:val="00A718A4"/>
    <w:rsid w:val="00A72CC3"/>
    <w:rsid w:val="00A72D10"/>
    <w:rsid w:val="00A735B4"/>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951"/>
    <w:rsid w:val="00A81AE7"/>
    <w:rsid w:val="00A81E9C"/>
    <w:rsid w:val="00A81EE4"/>
    <w:rsid w:val="00A8266E"/>
    <w:rsid w:val="00A82C3F"/>
    <w:rsid w:val="00A831FB"/>
    <w:rsid w:val="00A83282"/>
    <w:rsid w:val="00A83294"/>
    <w:rsid w:val="00A833A9"/>
    <w:rsid w:val="00A83727"/>
    <w:rsid w:val="00A83CCD"/>
    <w:rsid w:val="00A83D78"/>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2221"/>
    <w:rsid w:val="00A92F3E"/>
    <w:rsid w:val="00A93605"/>
    <w:rsid w:val="00A93B0C"/>
    <w:rsid w:val="00A93DD8"/>
    <w:rsid w:val="00A93FDA"/>
    <w:rsid w:val="00A94082"/>
    <w:rsid w:val="00A94637"/>
    <w:rsid w:val="00A94EFE"/>
    <w:rsid w:val="00A9520A"/>
    <w:rsid w:val="00A955DD"/>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8E4"/>
    <w:rsid w:val="00AA4CF7"/>
    <w:rsid w:val="00AA6141"/>
    <w:rsid w:val="00AA6342"/>
    <w:rsid w:val="00AA6FA0"/>
    <w:rsid w:val="00AA71F6"/>
    <w:rsid w:val="00AA72B7"/>
    <w:rsid w:val="00AA7307"/>
    <w:rsid w:val="00AA742F"/>
    <w:rsid w:val="00AA7B2C"/>
    <w:rsid w:val="00AA7B86"/>
    <w:rsid w:val="00AB0199"/>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C7"/>
    <w:rsid w:val="00AB6CC3"/>
    <w:rsid w:val="00AB76F4"/>
    <w:rsid w:val="00AB76F6"/>
    <w:rsid w:val="00AB78D2"/>
    <w:rsid w:val="00AB7F49"/>
    <w:rsid w:val="00AC021B"/>
    <w:rsid w:val="00AC033A"/>
    <w:rsid w:val="00AC08FA"/>
    <w:rsid w:val="00AC0AE8"/>
    <w:rsid w:val="00AC0EEA"/>
    <w:rsid w:val="00AC1404"/>
    <w:rsid w:val="00AC16A5"/>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E22"/>
    <w:rsid w:val="00B32E37"/>
    <w:rsid w:val="00B3338D"/>
    <w:rsid w:val="00B3390C"/>
    <w:rsid w:val="00B33CD2"/>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26C"/>
    <w:rsid w:val="00B4491F"/>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E59"/>
    <w:rsid w:val="00B513CD"/>
    <w:rsid w:val="00B51C74"/>
    <w:rsid w:val="00B5216A"/>
    <w:rsid w:val="00B52520"/>
    <w:rsid w:val="00B5302D"/>
    <w:rsid w:val="00B53717"/>
    <w:rsid w:val="00B53CB3"/>
    <w:rsid w:val="00B545D1"/>
    <w:rsid w:val="00B54888"/>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11B0"/>
    <w:rsid w:val="00B91789"/>
    <w:rsid w:val="00B91D0F"/>
    <w:rsid w:val="00B91E10"/>
    <w:rsid w:val="00B92039"/>
    <w:rsid w:val="00B92AB8"/>
    <w:rsid w:val="00B930B0"/>
    <w:rsid w:val="00B93249"/>
    <w:rsid w:val="00B93D5A"/>
    <w:rsid w:val="00B93F4E"/>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3143"/>
    <w:rsid w:val="00BB350C"/>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438"/>
    <w:rsid w:val="00BD44CB"/>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E5D"/>
    <w:rsid w:val="00C15FFA"/>
    <w:rsid w:val="00C16B94"/>
    <w:rsid w:val="00C16F55"/>
    <w:rsid w:val="00C1762B"/>
    <w:rsid w:val="00C17843"/>
    <w:rsid w:val="00C20D1E"/>
    <w:rsid w:val="00C20EFB"/>
    <w:rsid w:val="00C2147A"/>
    <w:rsid w:val="00C215C8"/>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8AE"/>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39A2"/>
    <w:rsid w:val="00C53E36"/>
    <w:rsid w:val="00C54058"/>
    <w:rsid w:val="00C54206"/>
    <w:rsid w:val="00C54217"/>
    <w:rsid w:val="00C543F0"/>
    <w:rsid w:val="00C547C5"/>
    <w:rsid w:val="00C54C42"/>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B57"/>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D14"/>
    <w:rsid w:val="00CF2E2A"/>
    <w:rsid w:val="00CF305E"/>
    <w:rsid w:val="00CF32D8"/>
    <w:rsid w:val="00CF3E56"/>
    <w:rsid w:val="00CF3EDD"/>
    <w:rsid w:val="00CF43E8"/>
    <w:rsid w:val="00CF445C"/>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41E"/>
    <w:rsid w:val="00D1164E"/>
    <w:rsid w:val="00D11CBE"/>
    <w:rsid w:val="00D12933"/>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647"/>
    <w:rsid w:val="00D3284B"/>
    <w:rsid w:val="00D32D70"/>
    <w:rsid w:val="00D331EA"/>
    <w:rsid w:val="00D33270"/>
    <w:rsid w:val="00D33429"/>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89B"/>
    <w:rsid w:val="00D45AA7"/>
    <w:rsid w:val="00D467B0"/>
    <w:rsid w:val="00D467F3"/>
    <w:rsid w:val="00D47588"/>
    <w:rsid w:val="00D475AF"/>
    <w:rsid w:val="00D47B79"/>
    <w:rsid w:val="00D47EA8"/>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F9D"/>
    <w:rsid w:val="00D64081"/>
    <w:rsid w:val="00D642B6"/>
    <w:rsid w:val="00D64677"/>
    <w:rsid w:val="00D646B3"/>
    <w:rsid w:val="00D64F2B"/>
    <w:rsid w:val="00D6504B"/>
    <w:rsid w:val="00D6523E"/>
    <w:rsid w:val="00D65394"/>
    <w:rsid w:val="00D66103"/>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125"/>
    <w:rsid w:val="00DB413B"/>
    <w:rsid w:val="00DB4441"/>
    <w:rsid w:val="00DB45D7"/>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78C1"/>
    <w:rsid w:val="00DE04FC"/>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E002FD"/>
    <w:rsid w:val="00E0069B"/>
    <w:rsid w:val="00E00BB4"/>
    <w:rsid w:val="00E00E82"/>
    <w:rsid w:val="00E01038"/>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6245"/>
    <w:rsid w:val="00E06272"/>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F9F"/>
    <w:rsid w:val="00E203EE"/>
    <w:rsid w:val="00E20909"/>
    <w:rsid w:val="00E21D74"/>
    <w:rsid w:val="00E224E1"/>
    <w:rsid w:val="00E22DFF"/>
    <w:rsid w:val="00E22FB6"/>
    <w:rsid w:val="00E230F7"/>
    <w:rsid w:val="00E233A7"/>
    <w:rsid w:val="00E235F9"/>
    <w:rsid w:val="00E23661"/>
    <w:rsid w:val="00E23E0F"/>
    <w:rsid w:val="00E24259"/>
    <w:rsid w:val="00E2440A"/>
    <w:rsid w:val="00E24DEC"/>
    <w:rsid w:val="00E2511B"/>
    <w:rsid w:val="00E25262"/>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AD"/>
    <w:rsid w:val="00E46107"/>
    <w:rsid w:val="00E463B3"/>
    <w:rsid w:val="00E476A4"/>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D59"/>
    <w:rsid w:val="00E61D8B"/>
    <w:rsid w:val="00E629F3"/>
    <w:rsid w:val="00E62A66"/>
    <w:rsid w:val="00E63940"/>
    <w:rsid w:val="00E64439"/>
    <w:rsid w:val="00E64472"/>
    <w:rsid w:val="00E64661"/>
    <w:rsid w:val="00E65307"/>
    <w:rsid w:val="00E65CF5"/>
    <w:rsid w:val="00E66C5C"/>
    <w:rsid w:val="00E66CC4"/>
    <w:rsid w:val="00E67180"/>
    <w:rsid w:val="00E67801"/>
    <w:rsid w:val="00E67B6E"/>
    <w:rsid w:val="00E67C65"/>
    <w:rsid w:val="00E7015D"/>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E7"/>
    <w:rsid w:val="00E85D86"/>
    <w:rsid w:val="00E863DB"/>
    <w:rsid w:val="00E86D07"/>
    <w:rsid w:val="00E86D83"/>
    <w:rsid w:val="00E871DF"/>
    <w:rsid w:val="00E87F98"/>
    <w:rsid w:val="00E90147"/>
    <w:rsid w:val="00E906A5"/>
    <w:rsid w:val="00E9103F"/>
    <w:rsid w:val="00E912F0"/>
    <w:rsid w:val="00E916C9"/>
    <w:rsid w:val="00E920A5"/>
    <w:rsid w:val="00E92E08"/>
    <w:rsid w:val="00E935CF"/>
    <w:rsid w:val="00E93DD3"/>
    <w:rsid w:val="00E9404C"/>
    <w:rsid w:val="00E9481D"/>
    <w:rsid w:val="00E9497F"/>
    <w:rsid w:val="00E94A69"/>
    <w:rsid w:val="00E94DD9"/>
    <w:rsid w:val="00E95BC7"/>
    <w:rsid w:val="00E965A3"/>
    <w:rsid w:val="00E96DC6"/>
    <w:rsid w:val="00E96F8C"/>
    <w:rsid w:val="00E972F4"/>
    <w:rsid w:val="00E976B6"/>
    <w:rsid w:val="00E97BC1"/>
    <w:rsid w:val="00E97BF9"/>
    <w:rsid w:val="00EA0343"/>
    <w:rsid w:val="00EA1EE0"/>
    <w:rsid w:val="00EA1F8D"/>
    <w:rsid w:val="00EA223D"/>
    <w:rsid w:val="00EA23F1"/>
    <w:rsid w:val="00EA2407"/>
    <w:rsid w:val="00EA2AE4"/>
    <w:rsid w:val="00EA2B35"/>
    <w:rsid w:val="00EA3270"/>
    <w:rsid w:val="00EA3419"/>
    <w:rsid w:val="00EA39DD"/>
    <w:rsid w:val="00EA40F2"/>
    <w:rsid w:val="00EA42DA"/>
    <w:rsid w:val="00EA43EF"/>
    <w:rsid w:val="00EA445D"/>
    <w:rsid w:val="00EA4FE2"/>
    <w:rsid w:val="00EA513E"/>
    <w:rsid w:val="00EA52F7"/>
    <w:rsid w:val="00EA53C8"/>
    <w:rsid w:val="00EA58EE"/>
    <w:rsid w:val="00EA62B6"/>
    <w:rsid w:val="00EA64F7"/>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2D6"/>
    <w:rsid w:val="00EE59F5"/>
    <w:rsid w:val="00EE6723"/>
    <w:rsid w:val="00EE6AC5"/>
    <w:rsid w:val="00EE6C0A"/>
    <w:rsid w:val="00EE7243"/>
    <w:rsid w:val="00EE737C"/>
    <w:rsid w:val="00EE7411"/>
    <w:rsid w:val="00EE74A1"/>
    <w:rsid w:val="00EE7ACD"/>
    <w:rsid w:val="00EF0199"/>
    <w:rsid w:val="00EF08DD"/>
    <w:rsid w:val="00EF0920"/>
    <w:rsid w:val="00EF0D45"/>
    <w:rsid w:val="00EF13D9"/>
    <w:rsid w:val="00EF1547"/>
    <w:rsid w:val="00EF1A59"/>
    <w:rsid w:val="00EF1B1B"/>
    <w:rsid w:val="00EF2068"/>
    <w:rsid w:val="00EF24BE"/>
    <w:rsid w:val="00EF286A"/>
    <w:rsid w:val="00EF347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7E97"/>
    <w:rsid w:val="00F21205"/>
    <w:rsid w:val="00F216CF"/>
    <w:rsid w:val="00F2170E"/>
    <w:rsid w:val="00F21A06"/>
    <w:rsid w:val="00F2224C"/>
    <w:rsid w:val="00F222F7"/>
    <w:rsid w:val="00F22C6A"/>
    <w:rsid w:val="00F23330"/>
    <w:rsid w:val="00F23F2B"/>
    <w:rsid w:val="00F240B2"/>
    <w:rsid w:val="00F2428C"/>
    <w:rsid w:val="00F2447A"/>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84B"/>
    <w:rsid w:val="00F60B73"/>
    <w:rsid w:val="00F6165F"/>
    <w:rsid w:val="00F61ACA"/>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30CD"/>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67B"/>
    <w:rsid w:val="00FB2941"/>
    <w:rsid w:val="00FB2E68"/>
    <w:rsid w:val="00FB3327"/>
    <w:rsid w:val="00FB35BC"/>
    <w:rsid w:val="00FB3650"/>
    <w:rsid w:val="00FB3A58"/>
    <w:rsid w:val="00FB3CA5"/>
    <w:rsid w:val="00FB5401"/>
    <w:rsid w:val="00FB5C9C"/>
    <w:rsid w:val="00FB6422"/>
    <w:rsid w:val="00FB6674"/>
    <w:rsid w:val="00FC044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3252"/>
    <w:rsid w:val="00FD3284"/>
    <w:rsid w:val="00FD3619"/>
    <w:rsid w:val="00FD3C4A"/>
    <w:rsid w:val="00FD3EB0"/>
    <w:rsid w:val="00FD43C2"/>
    <w:rsid w:val="00FD4CB6"/>
    <w:rsid w:val="00FD5D82"/>
    <w:rsid w:val="00FD5E87"/>
    <w:rsid w:val="00FD6407"/>
    <w:rsid w:val="00FD6702"/>
    <w:rsid w:val="00FD6E1C"/>
    <w:rsid w:val="00FD7A5C"/>
    <w:rsid w:val="00FD7DF0"/>
    <w:rsid w:val="00FD7DFC"/>
    <w:rsid w:val="00FE0C71"/>
    <w:rsid w:val="00FE0CF4"/>
    <w:rsid w:val="00FE13AF"/>
    <w:rsid w:val="00FE1A48"/>
    <w:rsid w:val="00FE1BB1"/>
    <w:rsid w:val="00FE22C3"/>
    <w:rsid w:val="00FE2E07"/>
    <w:rsid w:val="00FE37CA"/>
    <w:rsid w:val="00FE3A57"/>
    <w:rsid w:val="00FE3C0B"/>
    <w:rsid w:val="00FE3FCE"/>
    <w:rsid w:val="00FE416E"/>
    <w:rsid w:val="00FE448E"/>
    <w:rsid w:val="00FE451D"/>
    <w:rsid w:val="00FE4529"/>
    <w:rsid w:val="00FE4689"/>
    <w:rsid w:val="00FE4A2A"/>
    <w:rsid w:val="00FE51D4"/>
    <w:rsid w:val="00FE5587"/>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B3A"/>
    <w:rsid w:val="00FF7885"/>
    <w:rsid w:val="10EE01D6"/>
    <w:rsid w:val="10F0230C"/>
    <w:rsid w:val="14FE50FD"/>
    <w:rsid w:val="18876BEA"/>
    <w:rsid w:val="1A6A4BF8"/>
    <w:rsid w:val="1EC71758"/>
    <w:rsid w:val="26133BD0"/>
    <w:rsid w:val="287F360D"/>
    <w:rsid w:val="33887EC7"/>
    <w:rsid w:val="34653D70"/>
    <w:rsid w:val="3A1E5D66"/>
    <w:rsid w:val="41E82997"/>
    <w:rsid w:val="43080CB2"/>
    <w:rsid w:val="43E527E9"/>
    <w:rsid w:val="4AAE1E7C"/>
    <w:rsid w:val="4B742DD8"/>
    <w:rsid w:val="4F7B4A8A"/>
    <w:rsid w:val="50AC4EB7"/>
    <w:rsid w:val="52C673C7"/>
    <w:rsid w:val="5317328F"/>
    <w:rsid w:val="53281780"/>
    <w:rsid w:val="53372A8C"/>
    <w:rsid w:val="57D911B1"/>
    <w:rsid w:val="623F7BCD"/>
    <w:rsid w:val="635A1AD3"/>
    <w:rsid w:val="6E8E69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SimSun" w:cs="Times New Roman"/>
      <w:lang w:val="en-US"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2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paragraph" w:styleId="15">
    <w:name w:val="Body Text"/>
    <w:basedOn w:val="1"/>
    <w:link w:val="124"/>
    <w:qFormat/>
    <w:uiPriority w:val="0"/>
  </w:style>
  <w:style w:type="paragraph" w:styleId="16">
    <w:name w:val="Body Text 2"/>
    <w:basedOn w:val="1"/>
    <w:qFormat/>
    <w:uiPriority w:val="0"/>
    <w:pPr>
      <w:overflowPunct/>
      <w:autoSpaceDE/>
      <w:autoSpaceDN/>
      <w:adjustRightInd/>
      <w:textAlignment w:val="auto"/>
    </w:pPr>
    <w:rPr>
      <w:rFonts w:eastAsia="MS Mincho"/>
      <w:color w:val="FFFF00"/>
      <w:lang w:eastAsia="ja-JP"/>
    </w:rPr>
  </w:style>
  <w:style w:type="paragraph" w:styleId="17">
    <w:name w:val="caption"/>
    <w:basedOn w:val="1"/>
    <w:next w:val="1"/>
    <w:qFormat/>
    <w:uiPriority w:val="0"/>
    <w:rPr>
      <w:rFonts w:ascii="Arial" w:hAnsi="Arial" w:eastAsia="SimHei" w:cs="Arial"/>
    </w:rPr>
  </w:style>
  <w:style w:type="character" w:styleId="18">
    <w:name w:val="annotation reference"/>
    <w:qFormat/>
    <w:uiPriority w:val="99"/>
    <w:rPr>
      <w:sz w:val="16"/>
    </w:rPr>
  </w:style>
  <w:style w:type="paragraph" w:styleId="19">
    <w:name w:val="annotation text"/>
    <w:basedOn w:val="1"/>
    <w:link w:val="106"/>
    <w:qFormat/>
    <w:uiPriority w:val="99"/>
    <w:pPr>
      <w:overflowPunct/>
      <w:autoSpaceDE/>
      <w:autoSpaceDN/>
      <w:adjustRightInd/>
      <w:textAlignment w:val="auto"/>
    </w:pPr>
    <w:rPr>
      <w:rFonts w:eastAsia="MS Mincho"/>
    </w:rPr>
  </w:style>
  <w:style w:type="paragraph" w:styleId="20">
    <w:name w:val="annotation subject"/>
    <w:basedOn w:val="19"/>
    <w:next w:val="19"/>
    <w:semiHidden/>
    <w:qFormat/>
    <w:uiPriority w:val="0"/>
    <w:pPr>
      <w:overflowPunct w:val="0"/>
      <w:autoSpaceDE w:val="0"/>
      <w:autoSpaceDN w:val="0"/>
      <w:adjustRightInd w:val="0"/>
      <w:textAlignment w:val="baseline"/>
    </w:pPr>
    <w:rPr>
      <w:rFonts w:eastAsia="Times New Roman"/>
      <w:b/>
      <w:bCs/>
    </w:rPr>
  </w:style>
  <w:style w:type="paragraph" w:styleId="21">
    <w:name w:val="Document Map"/>
    <w:basedOn w:val="1"/>
    <w:semiHidden/>
    <w:qFormat/>
    <w:uiPriority w:val="0"/>
    <w:pPr>
      <w:shd w:val="clear" w:color="auto" w:fill="000080"/>
    </w:pPr>
  </w:style>
  <w:style w:type="character" w:styleId="22">
    <w:name w:val="Emphasis"/>
    <w:basedOn w:val="12"/>
    <w:qFormat/>
    <w:uiPriority w:val="0"/>
    <w:rPr>
      <w:i/>
      <w:iCs/>
    </w:rPr>
  </w:style>
  <w:style w:type="paragraph" w:styleId="23">
    <w:name w:val="footer"/>
    <w:basedOn w:val="24"/>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SimSun" w:cs="Times New Roman"/>
      <w:b/>
      <w:sz w:val="18"/>
      <w:lang w:val="en-US" w:eastAsia="en-US" w:bidi="ar-SA"/>
    </w:rPr>
  </w:style>
  <w:style w:type="character" w:styleId="25">
    <w:name w:val="footnote reference"/>
    <w:semiHidden/>
    <w:qFormat/>
    <w:uiPriority w:val="0"/>
    <w:rPr>
      <w:b/>
      <w:position w:val="6"/>
      <w:sz w:val="16"/>
    </w:rPr>
  </w:style>
  <w:style w:type="paragraph" w:styleId="26">
    <w:name w:val="footnote text"/>
    <w:basedOn w:val="1"/>
    <w:semiHidden/>
    <w:qFormat/>
    <w:uiPriority w:val="0"/>
    <w:pPr>
      <w:keepLines/>
      <w:spacing w:after="0"/>
      <w:ind w:left="454" w:hanging="454"/>
    </w:pPr>
    <w:rPr>
      <w:sz w:val="16"/>
    </w:rPr>
  </w:style>
  <w:style w:type="character" w:styleId="27">
    <w:name w:val="Hyperlink"/>
    <w:unhideWhenUsed/>
    <w:qFormat/>
    <w:uiPriority w:val="0"/>
    <w:rPr>
      <w:color w:val="0000FF"/>
      <w:u w:val="single"/>
    </w:rPr>
  </w:style>
  <w:style w:type="paragraph" w:styleId="28">
    <w:name w:val="index 1"/>
    <w:basedOn w:val="1"/>
    <w:semiHidden/>
    <w:qFormat/>
    <w:uiPriority w:val="0"/>
    <w:pPr>
      <w:keepLines/>
      <w:spacing w:after="0"/>
    </w:pPr>
  </w:style>
  <w:style w:type="paragraph" w:styleId="29">
    <w:name w:val="index 2"/>
    <w:basedOn w:val="28"/>
    <w:semiHidden/>
    <w:qFormat/>
    <w:uiPriority w:val="0"/>
    <w:pPr>
      <w:ind w:left="284"/>
    </w:pPr>
  </w:style>
  <w:style w:type="paragraph" w:styleId="30">
    <w:name w:val="List"/>
    <w:basedOn w:val="1"/>
    <w:qFormat/>
    <w:uiPriority w:val="0"/>
    <w:pPr>
      <w:ind w:left="568" w:hanging="284"/>
    </w:pPr>
  </w:style>
  <w:style w:type="paragraph" w:styleId="31">
    <w:name w:val="List 2"/>
    <w:basedOn w:val="30"/>
    <w:qFormat/>
    <w:uiPriority w:val="0"/>
    <w:pPr>
      <w:ind w:left="851"/>
    </w:pPr>
  </w:style>
  <w:style w:type="paragraph" w:styleId="32">
    <w:name w:val="List 3"/>
    <w:basedOn w:val="31"/>
    <w:qFormat/>
    <w:uiPriority w:val="0"/>
    <w:pPr>
      <w:ind w:left="1135"/>
    </w:pPr>
  </w:style>
  <w:style w:type="paragraph" w:styleId="33">
    <w:name w:val="List 4"/>
    <w:basedOn w:val="32"/>
    <w:qFormat/>
    <w:uiPriority w:val="0"/>
    <w:pPr>
      <w:ind w:left="1418"/>
    </w:pPr>
  </w:style>
  <w:style w:type="paragraph" w:styleId="34">
    <w:name w:val="List 5"/>
    <w:basedOn w:val="33"/>
    <w:qFormat/>
    <w:uiPriority w:val="0"/>
    <w:pPr>
      <w:ind w:left="1702"/>
    </w:pPr>
  </w:style>
  <w:style w:type="paragraph" w:styleId="35">
    <w:name w:val="List Bullet"/>
    <w:basedOn w:val="30"/>
    <w:qFormat/>
    <w:uiPriority w:val="0"/>
    <w:pPr>
      <w:numPr>
        <w:ilvl w:val="0"/>
        <w:numId w:val="0"/>
      </w:numPr>
    </w:pPr>
  </w:style>
  <w:style w:type="paragraph" w:styleId="36">
    <w:name w:val="List Bullet 2"/>
    <w:basedOn w:val="35"/>
    <w:qFormat/>
    <w:uiPriority w:val="0"/>
    <w:pPr>
      <w:ind w:left="851"/>
    </w:pPr>
  </w:style>
  <w:style w:type="paragraph" w:styleId="37">
    <w:name w:val="List Bullet 3"/>
    <w:basedOn w:val="36"/>
    <w:qFormat/>
    <w:uiPriority w:val="0"/>
    <w:pPr>
      <w:ind w:left="1135"/>
    </w:pPr>
  </w:style>
  <w:style w:type="paragraph" w:styleId="38">
    <w:name w:val="List Bullet 4"/>
    <w:basedOn w:val="37"/>
    <w:qFormat/>
    <w:uiPriority w:val="0"/>
    <w:pPr>
      <w:ind w:left="1418"/>
    </w:pPr>
  </w:style>
  <w:style w:type="paragraph" w:styleId="39">
    <w:name w:val="List Bullet 5"/>
    <w:basedOn w:val="38"/>
    <w:qFormat/>
    <w:uiPriority w:val="0"/>
    <w:pPr>
      <w:ind w:left="1702"/>
    </w:pPr>
  </w:style>
  <w:style w:type="paragraph" w:styleId="40">
    <w:name w:val="List Number"/>
    <w:basedOn w:val="30"/>
    <w:qFormat/>
    <w:uiPriority w:val="0"/>
    <w:pPr>
      <w:numPr>
        <w:ilvl w:val="0"/>
        <w:numId w:val="0"/>
      </w:numPr>
    </w:pPr>
  </w:style>
  <w:style w:type="paragraph" w:styleId="41">
    <w:name w:val="List Number 2"/>
    <w:basedOn w:val="40"/>
    <w:qFormat/>
    <w:uiPriority w:val="0"/>
    <w:pPr>
      <w:ind w:left="851"/>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43">
    <w:name w:val="Strong"/>
    <w:qFormat/>
    <w:uiPriority w:val="0"/>
    <w:rPr>
      <w:b/>
      <w:bCs/>
    </w:rPr>
  </w:style>
  <w:style w:type="table" w:styleId="44">
    <w:name w:val="Table Grid"/>
    <w:basedOn w:val="13"/>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itle"/>
    <w:basedOn w:val="1"/>
    <w:next w:val="1"/>
    <w:link w:val="107"/>
    <w:qFormat/>
    <w:uiPriority w:val="0"/>
    <w:pPr>
      <w:spacing w:before="240" w:after="120"/>
      <w:jc w:val="center"/>
      <w:outlineLvl w:val="0"/>
    </w:pPr>
    <w:rPr>
      <w:rFonts w:ascii="Malgun Gothic" w:hAnsi="Malgun Gothic" w:eastAsia="돋움" w:cs="Times New Roman"/>
      <w:b/>
      <w:bCs/>
      <w:sz w:val="32"/>
      <w:szCs w:val="32"/>
    </w:rPr>
  </w:style>
  <w:style w:type="paragraph" w:styleId="46">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SimSun" w:cs="Times New Roman"/>
      <w:sz w:val="22"/>
      <w:lang w:val="en-US" w:eastAsia="en-US" w:bidi="ar-SA"/>
    </w:rPr>
  </w:style>
  <w:style w:type="paragraph" w:styleId="47">
    <w:name w:val="toc 2"/>
    <w:basedOn w:val="46"/>
    <w:semiHidden/>
    <w:qFormat/>
    <w:uiPriority w:val="0"/>
    <w:pPr>
      <w:keepNext w:val="0"/>
      <w:spacing w:before="0"/>
      <w:ind w:left="851" w:hanging="851"/>
    </w:pPr>
    <w:rPr>
      <w:sz w:val="20"/>
    </w:rPr>
  </w:style>
  <w:style w:type="paragraph" w:styleId="48">
    <w:name w:val="toc 3"/>
    <w:basedOn w:val="47"/>
    <w:semiHidden/>
    <w:qFormat/>
    <w:uiPriority w:val="0"/>
    <w:pPr>
      <w:ind w:left="1134" w:hanging="1134"/>
    </w:pPr>
  </w:style>
  <w:style w:type="paragraph" w:styleId="49">
    <w:name w:val="toc 4"/>
    <w:basedOn w:val="48"/>
    <w:semiHidden/>
    <w:qFormat/>
    <w:uiPriority w:val="0"/>
    <w:pPr>
      <w:ind w:left="1418" w:hanging="1418"/>
    </w:pPr>
  </w:style>
  <w:style w:type="paragraph" w:styleId="50">
    <w:name w:val="toc 5"/>
    <w:basedOn w:val="49"/>
    <w:semiHidden/>
    <w:qFormat/>
    <w:uiPriority w:val="0"/>
    <w:pPr>
      <w:ind w:left="1701" w:hanging="1701"/>
    </w:pPr>
  </w:style>
  <w:style w:type="paragraph" w:styleId="51">
    <w:name w:val="toc 6"/>
    <w:basedOn w:val="50"/>
    <w:next w:val="1"/>
    <w:semiHidden/>
    <w:qFormat/>
    <w:uiPriority w:val="0"/>
    <w:pPr>
      <w:ind w:left="1985" w:hanging="1985"/>
    </w:pPr>
  </w:style>
  <w:style w:type="paragraph" w:styleId="52">
    <w:name w:val="toc 7"/>
    <w:basedOn w:val="51"/>
    <w:next w:val="1"/>
    <w:semiHidden/>
    <w:qFormat/>
    <w:uiPriority w:val="0"/>
    <w:pPr>
      <w:ind w:left="2268" w:hanging="2268"/>
    </w:pPr>
  </w:style>
  <w:style w:type="paragraph" w:styleId="53">
    <w:name w:val="toc 8"/>
    <w:basedOn w:val="46"/>
    <w:semiHidden/>
    <w:qFormat/>
    <w:uiPriority w:val="0"/>
    <w:pPr>
      <w:spacing w:before="180"/>
      <w:ind w:left="2693" w:hanging="2693"/>
    </w:pPr>
    <w:rPr>
      <w:b/>
    </w:rPr>
  </w:style>
  <w:style w:type="paragraph" w:styleId="54">
    <w:name w:val="toc 9"/>
    <w:basedOn w:val="53"/>
    <w:semiHidden/>
    <w:qFormat/>
    <w:uiPriority w:val="0"/>
    <w:pPr>
      <w:ind w:left="1418" w:hanging="1418"/>
    </w:p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57">
    <w:name w:val="TT"/>
    <w:basedOn w:val="2"/>
    <w:next w:val="1"/>
    <w:qFormat/>
    <w:uiPriority w:val="0"/>
    <w:pPr>
      <w:outlineLvl w:val="9"/>
    </w:pPr>
  </w:style>
  <w:style w:type="paragraph" w:customStyle="1" w:styleId="58">
    <w:name w:val="TAH"/>
    <w:basedOn w:val="59"/>
    <w:link w:val="100"/>
    <w:qFormat/>
    <w:uiPriority w:val="0"/>
    <w:rPr>
      <w:b/>
    </w:rPr>
  </w:style>
  <w:style w:type="paragraph" w:customStyle="1" w:styleId="59">
    <w:name w:val="TAC"/>
    <w:basedOn w:val="60"/>
    <w:link w:val="101"/>
    <w:qFormat/>
    <w:uiPriority w:val="0"/>
    <w:pPr>
      <w:jc w:val="center"/>
    </w:pPr>
  </w:style>
  <w:style w:type="paragraph" w:customStyle="1" w:styleId="60">
    <w:name w:val="TAL"/>
    <w:basedOn w:val="1"/>
    <w:link w:val="99"/>
    <w:qFormat/>
    <w:uiPriority w:val="0"/>
    <w:pPr>
      <w:keepNext/>
      <w:keepLines/>
      <w:spacing w:after="0"/>
    </w:pPr>
    <w:rPr>
      <w:rFonts w:ascii="Arial" w:hAnsi="Arial"/>
      <w:sz w:val="18"/>
    </w:rPr>
  </w:style>
  <w:style w:type="paragraph" w:customStyle="1" w:styleId="61">
    <w:name w:val="TF"/>
    <w:basedOn w:val="62"/>
    <w:link w:val="104"/>
    <w:qFormat/>
    <w:uiPriority w:val="0"/>
    <w:pPr>
      <w:keepNext w:val="0"/>
      <w:spacing w:before="0" w:after="240"/>
    </w:pPr>
  </w:style>
  <w:style w:type="paragraph" w:customStyle="1" w:styleId="62">
    <w:name w:val="TH"/>
    <w:basedOn w:val="1"/>
    <w:link w:val="103"/>
    <w:qFormat/>
    <w:uiPriority w:val="0"/>
    <w:pPr>
      <w:keepNext/>
      <w:keepLines/>
      <w:spacing w:before="60"/>
      <w:jc w:val="center"/>
    </w:pPr>
    <w:rPr>
      <w:rFonts w:ascii="Arial" w:hAnsi="Arial"/>
      <w:b/>
    </w:rPr>
  </w:style>
  <w:style w:type="paragraph" w:customStyle="1" w:styleId="63">
    <w:name w:val="NO"/>
    <w:basedOn w:val="1"/>
    <w:link w:val="11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SimSun" w:cs="Times New Roman"/>
      <w:lang w:val="en-US"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1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US"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1">
    <w:name w:val="Editor's Note"/>
    <w:basedOn w:val="63"/>
    <w:link w:val="109"/>
    <w:qFormat/>
    <w:uiPriority w:val="0"/>
    <w:rPr>
      <w:color w:val="FF0000"/>
    </w:rPr>
  </w:style>
  <w:style w:type="paragraph" w:customStyle="1" w:styleId="82">
    <w:name w:val="B1"/>
    <w:basedOn w:val="30"/>
    <w:link w:val="94"/>
    <w:qFormat/>
    <w:uiPriority w:val="0"/>
  </w:style>
  <w:style w:type="paragraph" w:customStyle="1" w:styleId="83">
    <w:name w:val="B2"/>
    <w:basedOn w:val="31"/>
    <w:link w:val="95"/>
    <w:qFormat/>
    <w:uiPriority w:val="0"/>
  </w:style>
  <w:style w:type="paragraph" w:customStyle="1" w:styleId="84">
    <w:name w:val="B3"/>
    <w:basedOn w:val="32"/>
    <w:link w:val="96"/>
    <w:qFormat/>
    <w:uiPriority w:val="0"/>
  </w:style>
  <w:style w:type="paragraph" w:customStyle="1" w:styleId="85">
    <w:name w:val="B4"/>
    <w:basedOn w:val="33"/>
    <w:qFormat/>
    <w:uiPriority w:val="0"/>
  </w:style>
  <w:style w:type="paragraph" w:customStyle="1" w:styleId="86">
    <w:name w:val="B5"/>
    <w:basedOn w:val="34"/>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S Mincho" w:cs="Times New Roman"/>
      <w:lang w:val="en-GB" w:eastAsia="en-US" w:bidi="ar-SA"/>
    </w:rPr>
  </w:style>
  <w:style w:type="paragraph" w:customStyle="1" w:styleId="89">
    <w:name w:val="00 BodyText"/>
    <w:basedOn w:val="1"/>
    <w:qFormat/>
    <w:uiPriority w:val="0"/>
    <w:pPr>
      <w:overflowPunct/>
      <w:autoSpaceDE/>
      <w:autoSpaceDN/>
      <w:adjustRightInd/>
      <w:spacing w:after="220"/>
      <w:textAlignment w:val="auto"/>
    </w:pPr>
    <w:rPr>
      <w:rFonts w:ascii="Arial" w:hAnsi="Arial"/>
      <w:sz w:val="22"/>
      <w:lang w:val="en-US"/>
    </w:rPr>
  </w:style>
  <w:style w:type="paragraph" w:customStyle="1" w:styleId="90">
    <w:name w:val="11 BodyText"/>
    <w:basedOn w:val="1"/>
    <w:qFormat/>
    <w:uiPriority w:val="0"/>
    <w:pPr>
      <w:overflowPunct/>
      <w:autoSpaceDE/>
      <w:autoSpaceDN/>
      <w:adjustRightInd/>
      <w:spacing w:after="220"/>
      <w:ind w:left="1298"/>
      <w:textAlignment w:val="auto"/>
    </w:pPr>
    <w:rPr>
      <w:rFonts w:ascii="Arial" w:hAnsi="Arial"/>
      <w:sz w:val="22"/>
      <w:lang w:val="en-US"/>
    </w:rPr>
  </w:style>
  <w:style w:type="paragraph" w:customStyle="1" w:styleId="91">
    <w:name w:val="B6"/>
    <w:basedOn w:val="86"/>
    <w:qFormat/>
    <w:uiPriority w:val="0"/>
  </w:style>
  <w:style w:type="paragraph" w:customStyle="1" w:styleId="92">
    <w:name w:val="和"/>
    <w:basedOn w:val="1"/>
    <w:qFormat/>
    <w:uiPriority w:val="0"/>
    <w:pPr>
      <w:jc w:val="both"/>
    </w:pPr>
    <w:rPr>
      <w:lang w:eastAsia="zh-CN"/>
    </w:rPr>
  </w:style>
  <w:style w:type="paragraph" w:customStyle="1" w:styleId="93">
    <w:name w:val="_Style 91"/>
    <w:hidden/>
    <w:semiHidden/>
    <w:qFormat/>
    <w:uiPriority w:val="99"/>
    <w:rPr>
      <w:rFonts w:ascii="Times New Roman" w:hAnsi="Times New Roman" w:eastAsia="SimSun" w:cs="Times New Roman"/>
      <w:lang w:val="en-US" w:eastAsia="en-US" w:bidi="ar-SA"/>
    </w:rPr>
  </w:style>
  <w:style w:type="character" w:customStyle="1" w:styleId="94">
    <w:name w:val="B1 Char"/>
    <w:link w:val="82"/>
    <w:qFormat/>
    <w:uiPriority w:val="0"/>
    <w:rPr>
      <w:rFonts w:ascii="Times New Roman" w:hAnsi="Times New Roman"/>
      <w:lang w:eastAsia="en-US"/>
    </w:rPr>
  </w:style>
  <w:style w:type="character" w:customStyle="1" w:styleId="95">
    <w:name w:val="B2 Car"/>
    <w:link w:val="83"/>
    <w:qFormat/>
    <w:uiPriority w:val="0"/>
    <w:rPr>
      <w:rFonts w:ascii="Times New Roman" w:hAnsi="Times New Roman"/>
      <w:lang w:eastAsia="en-US"/>
    </w:rPr>
  </w:style>
  <w:style w:type="character" w:customStyle="1" w:styleId="96">
    <w:name w:val="B3 Char"/>
    <w:link w:val="84"/>
    <w:qFormat/>
    <w:uiPriority w:val="0"/>
    <w:rPr>
      <w:rFonts w:ascii="Times New Roman" w:hAnsi="Times New Roman"/>
      <w:lang w:eastAsia="en-US"/>
    </w:rPr>
  </w:style>
  <w:style w:type="paragraph" w:styleId="97">
    <w:name w:val="Intense Quote"/>
    <w:basedOn w:val="1"/>
    <w:next w:val="1"/>
    <w:link w:val="98"/>
    <w:qFormat/>
    <w:uiPriority w:val="30"/>
    <w:pPr>
      <w:pBdr>
        <w:bottom w:val="single" w:color="4F81BD" w:sz="4" w:space="4"/>
      </w:pBdr>
      <w:spacing w:before="200" w:after="280"/>
      <w:ind w:left="936" w:right="936"/>
    </w:pPr>
    <w:rPr>
      <w:b/>
      <w:bCs/>
      <w:i/>
      <w:iCs/>
      <w:color w:val="4F81BD"/>
    </w:rPr>
  </w:style>
  <w:style w:type="character" w:customStyle="1" w:styleId="98">
    <w:name w:val="강한 인용 Char"/>
    <w:link w:val="97"/>
    <w:qFormat/>
    <w:uiPriority w:val="30"/>
    <w:rPr>
      <w:rFonts w:ascii="Times New Roman" w:hAnsi="Times New Roman"/>
      <w:b/>
      <w:bCs/>
      <w:i/>
      <w:iCs/>
      <w:color w:val="4F81BD"/>
      <w:lang w:eastAsia="en-US"/>
    </w:rPr>
  </w:style>
  <w:style w:type="character" w:customStyle="1" w:styleId="99">
    <w:name w:val="TAL Char"/>
    <w:link w:val="60"/>
    <w:qFormat/>
    <w:uiPriority w:val="0"/>
    <w:rPr>
      <w:rFonts w:ascii="Arial" w:hAnsi="Arial"/>
      <w:sz w:val="18"/>
      <w:lang w:eastAsia="en-US"/>
    </w:rPr>
  </w:style>
  <w:style w:type="character" w:customStyle="1" w:styleId="100">
    <w:name w:val="TAH Char"/>
    <w:link w:val="58"/>
    <w:qFormat/>
    <w:uiPriority w:val="0"/>
    <w:rPr>
      <w:rFonts w:ascii="Arial" w:hAnsi="Arial"/>
      <w:b/>
      <w:sz w:val="18"/>
      <w:lang w:eastAsia="en-US"/>
    </w:rPr>
  </w:style>
  <w:style w:type="character" w:customStyle="1" w:styleId="101">
    <w:name w:val="TAC Char"/>
    <w:link w:val="59"/>
    <w:qFormat/>
    <w:uiPriority w:val="0"/>
  </w:style>
  <w:style w:type="character" w:customStyle="1" w:styleId="102">
    <w:name w:val="TAL Car"/>
    <w:qFormat/>
    <w:uiPriority w:val="0"/>
    <w:rPr>
      <w:rFonts w:ascii="Arial" w:hAnsi="Arial" w:eastAsia="SimSun"/>
      <w:sz w:val="18"/>
      <w:lang w:val="en-GB" w:eastAsia="en-US" w:bidi="ar-SA"/>
    </w:rPr>
  </w:style>
  <w:style w:type="character" w:customStyle="1" w:styleId="103">
    <w:name w:val="TH Char"/>
    <w:link w:val="62"/>
    <w:qFormat/>
    <w:uiPriority w:val="0"/>
    <w:rPr>
      <w:rFonts w:ascii="Arial" w:hAnsi="Arial"/>
      <w:b/>
      <w:lang w:eastAsia="en-US"/>
    </w:rPr>
  </w:style>
  <w:style w:type="character" w:customStyle="1" w:styleId="104">
    <w:name w:val="TF Char"/>
    <w:link w:val="61"/>
    <w:qFormat/>
    <w:uiPriority w:val="0"/>
    <w:rPr>
      <w:rFonts w:ascii="Arial" w:hAnsi="Arial"/>
      <w:b/>
      <w:lang w:eastAsia="en-US"/>
    </w:rPr>
  </w:style>
  <w:style w:type="paragraph" w:customStyle="1" w:styleId="105">
    <w:name w:val="First Change"/>
    <w:basedOn w:val="1"/>
    <w:qFormat/>
    <w:uiPriority w:val="0"/>
    <w:pPr>
      <w:overflowPunct/>
      <w:autoSpaceDE/>
      <w:autoSpaceDN/>
      <w:adjustRightInd/>
      <w:jc w:val="center"/>
      <w:textAlignment w:val="auto"/>
    </w:pPr>
    <w:rPr>
      <w:color w:val="FF0000"/>
      <w:lang w:val="en-GB"/>
    </w:rPr>
  </w:style>
  <w:style w:type="character" w:customStyle="1" w:styleId="106">
    <w:name w:val="메모 텍스트 Char"/>
    <w:link w:val="19"/>
    <w:qFormat/>
    <w:uiPriority w:val="99"/>
    <w:rPr>
      <w:rFonts w:ascii="Times New Roman" w:hAnsi="Times New Roman" w:eastAsia="MS Mincho"/>
      <w:lang w:eastAsia="en-US"/>
    </w:rPr>
  </w:style>
  <w:style w:type="character" w:customStyle="1" w:styleId="107">
    <w:name w:val="제목 Char"/>
    <w:link w:val="45"/>
    <w:qFormat/>
    <w:uiPriority w:val="0"/>
    <w:rPr>
      <w:rFonts w:ascii="Malgun Gothic" w:hAnsi="Malgun Gothic" w:eastAsia="돋움" w:cs="Times New Roman"/>
      <w:b/>
      <w:bCs/>
      <w:sz w:val="32"/>
      <w:szCs w:val="32"/>
      <w:lang w:eastAsia="en-US"/>
    </w:rPr>
  </w:style>
  <w:style w:type="character" w:customStyle="1" w:styleId="108">
    <w:name w:val="B1 Char1"/>
    <w:qFormat/>
    <w:uiPriority w:val="0"/>
    <w:rPr>
      <w:lang w:val="en-GB" w:eastAsia="en-US" w:bidi="ar-SA"/>
    </w:rPr>
  </w:style>
  <w:style w:type="character" w:customStyle="1" w:styleId="109">
    <w:name w:val="Editor's Note Char"/>
    <w:link w:val="81"/>
    <w:qFormat/>
    <w:uiPriority w:val="0"/>
    <w:rPr>
      <w:rFonts w:ascii="Times New Roman" w:hAnsi="Times New Roman"/>
      <w:color w:val="FF0000"/>
      <w:lang w:eastAsia="en-US"/>
    </w:rPr>
  </w:style>
  <w:style w:type="character" w:customStyle="1" w:styleId="110">
    <w:name w:val="B1 Zchn"/>
    <w:qFormat/>
    <w:locked/>
    <w:uiPriority w:val="0"/>
    <w:rPr>
      <w:lang w:val="en-GB" w:eastAsia="en-US"/>
    </w:rPr>
  </w:style>
  <w:style w:type="character" w:customStyle="1" w:styleId="111">
    <w:name w:val="NO Char"/>
    <w:link w:val="63"/>
    <w:qFormat/>
    <w:uiPriority w:val="0"/>
    <w:rPr>
      <w:rFonts w:ascii="Times New Roman" w:hAnsi="Times New Roman"/>
      <w:lang w:eastAsia="en-US"/>
    </w:rPr>
  </w:style>
  <w:style w:type="character" w:customStyle="1" w:styleId="112">
    <w:name w:val="NO Zchn"/>
    <w:qFormat/>
    <w:uiPriority w:val="0"/>
    <w:rPr>
      <w:lang w:eastAsia="en-US"/>
    </w:rPr>
  </w:style>
  <w:style w:type="character" w:customStyle="1" w:styleId="113">
    <w:name w:val="B2 Char"/>
    <w:qFormat/>
    <w:uiPriority w:val="0"/>
    <w:rPr>
      <w:lang w:val="en-GB" w:eastAsia="en-US"/>
    </w:rPr>
  </w:style>
  <w:style w:type="character" w:customStyle="1" w:styleId="114">
    <w:name w:val="TF Zchn"/>
    <w:qFormat/>
    <w:uiPriority w:val="0"/>
    <w:rPr>
      <w:rFonts w:ascii="Arial" w:hAnsi="Arial"/>
      <w:b/>
      <w:lang w:val="en-GB"/>
    </w:rPr>
  </w:style>
  <w:style w:type="paragraph" w:styleId="115">
    <w:name w:val="List Paragraph"/>
    <w:basedOn w:val="1"/>
    <w:qFormat/>
    <w:uiPriority w:val="34"/>
    <w:pPr>
      <w:widowControl w:val="0"/>
      <w:overflowPunct/>
      <w:spacing w:after="0" w:line="360" w:lineRule="auto"/>
      <w:ind w:firstLine="420" w:firstLineChars="200"/>
      <w:textAlignment w:val="auto"/>
    </w:pPr>
    <w:rPr>
      <w:snapToGrid w:val="0"/>
      <w:sz w:val="21"/>
      <w:szCs w:val="21"/>
      <w:lang w:eastAsia="zh-CN"/>
    </w:rPr>
  </w:style>
  <w:style w:type="character" w:customStyle="1" w:styleId="116">
    <w:name w:val="PL Char"/>
    <w:link w:val="71"/>
    <w:qFormat/>
    <w:uiPriority w:val="0"/>
    <w:rPr>
      <w:rFonts w:ascii="Courier New" w:hAnsi="Courier New"/>
      <w:sz w:val="16"/>
      <w:lang w:eastAsia="en-US"/>
    </w:rPr>
  </w:style>
  <w:style w:type="paragraph" w:customStyle="1" w:styleId="117">
    <w:name w:val="Agreement"/>
    <w:basedOn w:val="1"/>
    <w:next w:val="1"/>
    <w:qFormat/>
    <w:uiPriority w:val="0"/>
    <w:pPr>
      <w:numPr>
        <w:ilvl w:val="0"/>
        <w:numId w:val="1"/>
      </w:numPr>
      <w:overflowPunct/>
      <w:autoSpaceDE/>
      <w:autoSpaceDN/>
      <w:adjustRightInd/>
      <w:spacing w:before="60" w:after="0"/>
      <w:textAlignment w:val="auto"/>
    </w:pPr>
    <w:rPr>
      <w:rFonts w:ascii="Arial" w:hAnsi="Arial" w:eastAsia="MS Mincho"/>
      <w:b/>
      <w:szCs w:val="24"/>
      <w:lang w:val="en-GB" w:eastAsia="en-GB"/>
    </w:rPr>
  </w:style>
  <w:style w:type="table" w:customStyle="1" w:styleId="118">
    <w:name w:val="Table Grid1"/>
    <w:basedOn w:val="13"/>
    <w:qFormat/>
    <w:uiPriority w:val="59"/>
    <w:rPr>
      <w:rFonts w:ascii="Times New Roman" w:hAnsi="Times New Roman"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9">
    <w:name w:val="Doc-text2"/>
    <w:basedOn w:val="1"/>
    <w:link w:val="120"/>
    <w:qFormat/>
    <w:uiPriority w:val="0"/>
    <w:pPr>
      <w:tabs>
        <w:tab w:val="left" w:pos="1622"/>
      </w:tabs>
      <w:overflowPunct/>
      <w:autoSpaceDE/>
      <w:autoSpaceDN/>
      <w:adjustRightInd/>
      <w:spacing w:after="0"/>
      <w:ind w:left="1622" w:hanging="363"/>
      <w:textAlignment w:val="auto"/>
    </w:pPr>
    <w:rPr>
      <w:rFonts w:ascii="Arial" w:hAnsi="Arial" w:eastAsia="MS Mincho"/>
      <w:szCs w:val="24"/>
      <w:lang w:val="en-GB" w:eastAsia="en-GB"/>
    </w:rPr>
  </w:style>
  <w:style w:type="character" w:customStyle="1" w:styleId="120">
    <w:name w:val="Doc-text2 Char"/>
    <w:link w:val="119"/>
    <w:qFormat/>
    <w:uiPriority w:val="0"/>
    <w:rPr>
      <w:rFonts w:ascii="Arial" w:hAnsi="Arial" w:eastAsia="MS Mincho"/>
      <w:szCs w:val="24"/>
      <w:lang w:val="en-GB" w:eastAsia="en-GB"/>
    </w:rPr>
  </w:style>
  <w:style w:type="paragraph" w:customStyle="1" w:styleId="121">
    <w:name w:val="List Paragraph1"/>
    <w:basedOn w:val="1"/>
    <w:qFormat/>
    <w:uiPriority w:val="0"/>
    <w:pPr>
      <w:overflowPunct/>
      <w:autoSpaceDE/>
      <w:autoSpaceDN/>
      <w:adjustRightInd/>
      <w:spacing w:before="100" w:beforeAutospacing="1"/>
      <w:ind w:left="720"/>
      <w:contextualSpacing/>
      <w:textAlignment w:val="auto"/>
    </w:pPr>
    <w:rPr>
      <w:sz w:val="24"/>
      <w:szCs w:val="24"/>
      <w:lang w:eastAsia="zh-CN"/>
    </w:rPr>
  </w:style>
  <w:style w:type="character" w:customStyle="1" w:styleId="122">
    <w:name w:val="제목 4 Char"/>
    <w:link w:val="5"/>
    <w:qFormat/>
    <w:uiPriority w:val="0"/>
    <w:rPr>
      <w:rFonts w:ascii="Arial" w:hAnsi="Arial"/>
      <w:sz w:val="24"/>
      <w:lang w:val="en-GB" w:eastAsia="en-US"/>
    </w:rPr>
  </w:style>
  <w:style w:type="paragraph" w:customStyle="1" w:styleId="123">
    <w:name w:val="PropObs"/>
    <w:basedOn w:val="1"/>
    <w:qFormat/>
    <w:uiPriority w:val="0"/>
    <w:pPr>
      <w:spacing w:before="100" w:beforeAutospacing="1"/>
    </w:pPr>
    <w:rPr>
      <w:rFonts w:cs="Calibri"/>
      <w:b/>
      <w:bCs/>
      <w:sz w:val="22"/>
      <w:szCs w:val="22"/>
      <w:lang w:eastAsia="zh-CN"/>
    </w:rPr>
  </w:style>
  <w:style w:type="character" w:customStyle="1" w:styleId="124">
    <w:name w:val="본문 Char"/>
    <w:link w:val="15"/>
    <w:qFormat/>
    <w:uiPriority w:val="0"/>
    <w:rPr>
      <w:rFonts w:ascii="Times New Roman" w:hAnsi="Times New Roman"/>
      <w:lang w:eastAsia="en-US"/>
    </w:rPr>
  </w:style>
  <w:style w:type="paragraph" w:customStyle="1" w:styleId="125">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 TDoc</Template>
  <Company>Nokia</Company>
  <Pages>5</Pages>
  <Words>1097</Words>
  <Characters>6259</Characters>
  <Lines>52</Lines>
  <Paragraphs>14</Paragraphs>
  <TotalTime>37</TotalTime>
  <ScaleCrop>false</ScaleCrop>
  <LinksUpToDate>false</LinksUpToDate>
  <CharactersWithSpaces>7342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2024-04-05T06:15:00Z</dcterms:created>
  <dc:creator>Nokia</dc:creator>
  <cp:lastModifiedBy>Sashiganth M</cp:lastModifiedBy>
  <cp:lastPrinted>2011-08-11T13:08:00Z</cp:lastPrinted>
  <dcterms:modified xsi:type="dcterms:W3CDTF">2025-11-07T05:44:02Z</dcterms:modified>
  <dc:title>3GPP Contribution</dc:title>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KSOProductBuildVer">
    <vt:lpwstr>1033-12.2.0.23155</vt:lpwstr>
  </property>
  <property fmtid="{D5CDD505-2E9C-101B-9397-08002B2CF9AE}" pid="4" name="ICV">
    <vt:lpwstr>E2A772BB7189450182A9606DDC7D5FE6_13</vt:lpwstr>
  </property>
</Properties>
</file>